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6B_222/2018 vom 30. Mai 2018</w:t>
      </w:r>
    </w:p>
    <w:p>
      <w:r>
        <w:t>Bundesgericht, 2018-05-30, DE</w:t>
      </w:r>
    </w:p>
    <w:p>
      <w:r>
        <w:rPr>
          <w:b/>
        </w:rPr>
        <w:t xml:space="preserve">Quelle: </w:t>
      </w:r>
      <w:r>
        <w:t>https://mcp.opencaselaw.ch/entscheid/bger_6B_222_2018</w:t>
      </w:r>
    </w:p>
    <w:p>
      <w:r>
        <w:t>FR: TF 6B_222/2018 du 30 mai 2018</w:t>
      </w:r>
    </w:p>
    <w:p>
      <w:r>
        <w:t>IT: TF 6B_222/2018 del 30 maggio 2018</w:t>
      </w:r>
    </w:p>
    <w:p>
      <w:pPr>
        <w:pStyle w:val="Heading2"/>
      </w:pPr>
      <w:r>
        <w:t>Erwägungen</w:t>
      </w:r>
    </w:p>
    <w:p>
      <w:r>
        <w:rPr>
          <w:b/>
        </w:rPr>
        <w:t>E. 1.1</w:t>
      </w:r>
    </w:p>
    <w:p>
      <w:r>
        <w:t>Der Beschwerdeführer rügt eine Verletzung des Anklagegrundsatzes. Hinsichtlich des Tatvorwurfs des Führens eines nicht betriebssicheren Fahrzeugs fehle es an einer genauen Umschreibung des Anklagesachverhalts, da nirgends hervorgehe, wie tief die Profilrillen der Autoreifen gewesen seien. Weiter macht er implizit geltend, in Bezug auf den Anklagepunkt des Betäubungsmittelkonsums führe die Anklageschrift nicht alle einschlägigen Gesetzesbestimmungen auf, aus denen sich die Strafbarkeit ergebe.</w:t>
      </w:r>
    </w:p>
    <w:p>
      <w:r>
        <w:rPr>
          <w:b/>
        </w:rPr>
        <w:t>E. 1.2</w:t>
      </w:r>
    </w:p>
    <w:p>
      <w:r>
        <w:t>Nach dem Anklagegrundsatz bestimmt die Anklageschrift den Gegenstand des Gerichtsverfahrens (Umgrenzungsfunktion; Art. 29 Abs. 2 und Art. 32 Abs. 2 BV ; Art. 9 und Art. 325 StPO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dient dem Anspruch auf rechtliches Gehör (Informationsfunktion; BGE 143 IV 63 E. 2.2 S. 65; Urteil 6B_159/2018 vom 17. Mai 2018 E. 2.2; je mit Hinweisen). Die beschuldigte Person muss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 BGE 143 IV 63 E. 2.2 S. 65; 103 Ia 6 E. 1b S. 6; je mit Hinweisen).</w:t>
      </w:r>
    </w:p>
    <w:p>
      <w:r>
        <w:rPr>
          <w:b/>
        </w:rPr>
        <w:t>E. 1.3</w:t>
      </w:r>
    </w:p>
    <w:p>
      <w:r>
        <w:t>Die Staatsanwaltschaft des Kantons Freiburg hält im Strafbefehl, welcher als Anklageschrift gilt ( Art. 356 Abs. 1 StPO ), unter anderem fest, dass das Fahrzeug des Beschwerdeführers mit vier abgelaufenen Reifen ausgestattet gewesen sei. Der dem Beschwerdeführer zur Last gelegte Vorwurf ist damit hinreichend umschrieben. Dass die genaue Profiltiefe der Reifen nicht angegeben wurde, ändert daran nichts. Für den Beschwerdeführer war klar erkennbar, was ihm angelastet wurde, so dass er ohne weiteres in der Lage war, seine Verteidigungsrechte angemessen auszuüben. Dass und inwiefern die fehlende Angabe der Profiltiefe eine wirksame Verteidigung erschwert oder gar verunmöglicht haben soll, ist vom Beschwerdeführer weder dargetan noch ersichtlich.</w:t>
      </w:r>
    </w:p>
    <w:p>
      <w:r>
        <w:t>Soweit der Beschwerdeführer betreffend des Vorwurfs des Betäubungsmittelkonsums eine Verletzung des Anklagegrundsatzes geltend macht, ist er nicht zu hören. Diese Rüge ist nicht Gegenstand des vorinstanzlichen Urteils. Dass der Beschwerdeführer eine entsprechende Verletzung bereits im vorinstanzlichen Verfahren vorgebracht hätte, geht aus den Akten nicht hervor. Auf die erstmals vor Bundesgericht erhobene Rüge kann daher mangels Ausschöpfung des Instanzenzugs nicht eingetreten werden ( Art. 80 Abs. 1 BGG ).</w:t>
      </w:r>
    </w:p>
    <w:p>
      <w:r>
        <w:rPr>
          <w:b/>
        </w:rPr>
        <w:t>E. 2.1</w:t>
      </w:r>
    </w:p>
    <w:p>
      <w:r>
        <w:t>Der Beschwerdeführer rügt in verschiedener Hinsicht eine willkürliche Sachverhaltsfeststellung. Es sei nicht erstellt, wie tief die Profilrillen der Autoreifen gewesen seien. Die Annahme, die Reifen seien abgefahren gewesen, sei damit nicht haltbar. Sodann könne ihm kein Konsum von Betäubungsmitteln nachgewiesen werden, da die bei ihm gemessenen Blutwerte unter den in Art. 34 der Verordnung des Bundesamts für Strassen vom 22. Mai 2008 zur Strassenverkehrskontrollverordnung (VSKV-ASTRA; SR 741.013.1) aufgeführten Grenzwerten liegen würden.</w:t>
      </w:r>
    </w:p>
    <w:p>
      <w:r>
        <w:rPr>
          <w:b/>
        </w:rPr>
        <w:t>E. 2.2</w:t>
      </w:r>
    </w:p>
    <w:p>
      <w:r>
        <w:t>Die Vorinstanz erwägt, auf den Fotos der Kantonspolizei sei deutlich zu erkennen, dass die Profilrillen der Reifen nicht die in Art. 58 Abs. 4 der Verordnung vom 19. Juni 1995 über die technischen Anforderungen an Strassenfahrzeuge (VTS; SR 741.41) vorgegebene Minimaltiefe von 1,6 mm aufweisen würden. Für diese Feststellung bedürfe es keines Gutachtens. Überdies würden auch das Unfallprotokoll vom 19. Oktober 2014 und der Polizeirapport vom 10. Dezember 2014 festhalten, dass die vier Reifen des Fahrzeugs abgefahren gewesen seien. Betreffend des Vorwurfs des Betäubungsmittelkonsums führt sie aus, im Blut wie auch im Urin des Beschwerdeführers seien Spuren von Cannabis und Amphetaminen gefunden worden. Dass die bei der toxikologischen Untersuchung ermittelten Blutwerte des Beschwerdeführers unterhalb der in Art. 34 VSKV-ASTRA festgelegten Grenzwerte liegen würden, bedeute nur, dass die Fahrunfähigkeit im Sinne von Art. 2 Abs. 2 der Verkehrsregelverordnung vom 13. November 1962 (VRV; SR 741.11) nicht erwiesen sei. Dies ändere jedoch nichts daran, dass der Beschwerdeführer Betäubungsmittel konsumiert habe.</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143 IV 241 E. 2.3.1 S. 244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tritt das Bundesgericht nicht ein (vgl. Art. 42 Abs. 2 und Art. 106 Abs. 2 BGG ; BGE 142 III 364 E. 2.4 S. 368; 141 IV 317 E. 5.4 S. 324; je mit Hinweisen).</w:t>
      </w:r>
    </w:p>
    <w:p>
      <w:r>
        <w:rPr>
          <w:b/>
        </w:rPr>
        <w:t>E. 2.4.1</w:t>
      </w:r>
    </w:p>
    <w:p>
      <w:r>
        <w:t>Was der Beschwerdeführer gegen die vorinstanzliche Sachverhaltsfeststellung vorbringt, vermag keine Willkür zu begründen. Hinsichtlich des Vorwurfs des Führens eines nicht betriebssicheren Fahrzeugs beschränkt er sich hauptsächlich darauf, seine eigene Sicht der Dinge darzulegen, ohne sich mit der vorinstanzlichen Beweiswürdigung auseinanderzusetzen und aufzuzeigen inwiefern die vorhandenen Beweise eine andere Schlussfolgerung geradezu aufdrängen sollen. Seine Vorbringen erschöpfen sich damit weitgehend in unzulässiger appellatorischer Kritik, auf welche nicht einzutreten ist. Dass die exakte Tiefe der Profilrillen in keinem Dokument festgehalten wurde, ist entgegen der Ansicht des Beschwerdeführers nicht von Belang. Aufgrund der vorhandenen Beweismittel durfte die Vorinstanz willkürfrei davon ausgehen, dass die Reifen nicht die erforderliche Profiltiefe von 1,6 mm aufwiesen, ohne die genaue Rillentiefe feststellen zu müssen.</w:t>
      </w:r>
    </w:p>
    <w:p>
      <w:r>
        <w:rPr>
          <w:b/>
        </w:rPr>
        <w:t>E. 2.4.2</w:t>
      </w:r>
    </w:p>
    <w:p>
      <w:r>
        <w:t>Nicht ersichtlich ist sodann, inwiefern die Feststellung, der Beschwerdeführer habe Betäubungsmittel konsumiert, unhaltbar sein soll. Zwar weist der Beschwerdeführer zu Recht darauf hin, dass es sich bei den in Art. 34 VSKV-ASTRA aufgeführten Grenzwerten um sogenannte Bestimmungsgrenzwerte handelt, welche unter Berücksichtigung der Eigenheiten des chemisch-analytischen Messverfahrens festlegen, ab welcher Gehaltskonzentration eine Substanz im Blut als nachgewiesen gelten kann (SCHAFFHAUSER/LINIGER, Das Dogma der Drogen-Nulltoleranz, in: Jahrbuch zum Strassenverkehrsrecht, 2015, S. 219; PHILIPPE WEISSENBERGER, in: Kommentar zum Strassenverkehrsgesetz und Ordnungsbussengesetz, 2. Aufl. 2015, N. 26 zu Art. 31 SVG ; FAHRNI/HEIMGARTNER, in: Basler Kommentar, Schweizerisches Strassenverkehrsgesetz, 2014, N. 25 zu Art. 91 SVG ; NIGGLI/FIOLKA, Fahren in fahrunfähigem Zustand, in: Probst/Werro (Hrsg.) Strassenverkehrsrechtsstagung 2010, S. 100). Aus der Tatsache, dass die im Blut festgestellten THC- und Amphetamingehalte unter diesen festgelegten Grenzwerten liegen, lässt sich indessen nicht schliessen, der Beschwerdeführer habe keine Betäubungsmittel konsumiert. Indem der Beschwerdeführer für die Frage des Konsums allein auf die Blutwerte abstellt, blendet er die übrigen Befunde der toxikologischen Untersuchung aus. So lässt er sich insbesondere zu der im Urin gemessenen THC-COOH Konzentration von mehr als 100 µg/L und der Amphetamin-Konzentration von 2000 µg/L nicht vernehmen. Aus der toxikologischen Expertise vom 17. November 2014 geht hervor, dass bei verschiedenen Tests mit teilweise unterschiedlichen Analysemethoden (immunologischer Urintest als Vortest, Gaschromatografische Massenspektrometrie [CS-MS] als Bestätigungsanalyse) stets Spuren von Amphetamin und Cannabis sowohl im Blut wie auch im Urin festgestellt werden konnten, was für eine Einnahme dieser Substanzen spricht. Des Weiteren wurde in beiden Körperflüssigkeiten das Cannabis-Abbauprodukt Tetrahydrocannabinolcarbonsäure (THC-COOH) nachgewiesen, welches im menschlichen Organismus nicht natürlich vorkommt und damit einen in der Vergangenheit erfolgten Cannabiskonsum belegt (GUSTAV HUG-BEELI, Kommentar zum Betäubungsmittelgesetz, 2016, N. 469 zu Art. 2 BetmG ). Gestützt auf die verschiedenen Messwerte, schlossen sodann auch die beiden Gutachter auf einen Mischkonsum dieser Drogen und empfohlen deshalb eine Überprüfung der Fahreignung (toxikologische Expertise vom 17. November 2014, Strafakten des Gerichts des Seebezirks, act. 28 ff.). Vor diesem Hintergrund erscheint die Annahme der Vorinstanz, der Beschwerdeführer habe sowohl Cannabis wie auch Amphetamine konsumiert, nicht als unhaltbar.</w:t>
      </w:r>
    </w:p>
    <w:p>
      <w:r>
        <w:t>Der Einwand des Beschwerdeführers, die angezeigten Werte könnten auf die Einnahme von Dolo-Spedifen 200 zurückzuführen sein, vermag daran nichts zu ändern. Wie die Vorinstanz zu Recht festhält, besteht kein Grund anzunehmen, dass die Einnahme dieses Medikaments, mehr als 24 Stunden später sowohl im Urin wie auch im Blut ein falsch-positives Resultat erzeugt hat.</w:t>
      </w:r>
    </w:p>
    <w:p>
      <w:r>
        <w:t>Schliesslich ist auch der Hinweis auf einen möglichen Passivkonsum unbehelflich. Gemäss dem vom Beschwerdeführer angegebenen Fachartikel können nach einer passiven Cannabisexposition zwar THC und dessen Metaboliten im Blut und Urin nachgewiesen werden, dies jedoch im Allgemeinen deutlich unterhalb der üblicherweise verwendeten Cut-offs für Urinschnelltests. Studien in welchen positive Urinschnelltests nach einer passiven Exposition beschrieben worden sind, hätten unter realitätsfremden Umständen (enge Räume, grosser Abbrand von Cannabisprodukten und starker Rauchexposition) stattgefunden (PFÄFFLI/OSWALD / WEINMANN, Urinschnelltests [Immunoassays] auf Drogen und Medikamente, in: Schweiz Med Forum 2013, S. 321). Dass der Beschwerdeführer einer so aussergewöhnlichen Exposition ausgesetzt gewesen wäre, ist nicht ersichtlich und wird vom Beschwerdeführer denn auch nicht geltend gemacht. Mit Blick auf die Messwerte durfte die Vorinstanz damit willkürfrei ausschliessen, dass die positiven Testresultate auf eine bloss passive Einnahme der Substanzen zurückzuführen ist.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