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222/2017 vom 17. März 2017</w:t>
      </w:r>
    </w:p>
    <w:p>
      <w:r>
        <w:t>Bundesgericht, 2017-03-17, DE</w:t>
      </w:r>
    </w:p>
    <w:p>
      <w:r>
        <w:rPr>
          <w:b/>
        </w:rPr>
        <w:t xml:space="preserve">Quelle: </w:t>
      </w:r>
      <w:r>
        <w:t>https://mcp.opencaselaw.ch/entscheid/bger_6B_222_2017</w:t>
      </w:r>
    </w:p>
    <w:p>
      <w:r>
        <w:t>FR: TF 6B 222/2017 du 17 mars 2017</w:t>
      </w:r>
    </w:p>
    <w:p>
      <w:r>
        <w:t>IT: TF 6B 222/2017 del 17 marzo 2017</w:t>
      </w:r>
    </w:p>
    <w:p>
      <w:pPr>
        <w:pStyle w:val="Heading2"/>
      </w:pPr>
      <w:r>
        <w:t>Regeste</w:t>
      </w:r>
    </w:p>
    <w:p>
      <w:r>
        <w:t>Nichtanhandnahme (Unterdrückung von Urkunden, Urkundenfälschung etc.) | Strafprozess</w:t>
      </w:r>
    </w:p>
    <w:p>
      <w:pPr>
        <w:pStyle w:val="Heading2"/>
      </w:pPr>
      <w:r>
        <w:t>Erwägungen</w:t>
      </w:r>
    </w:p>
    <w:p>
      <w:r>
        <w:rPr>
          <w:b/>
        </w:rPr>
        <w:t>E. 1</w:t>
      </w:r>
    </w:p>
    <w:p>
      <w:r>
        <w:t>Dem Beschwerdeführer wurde im Rahmen zweier Strafverfahren u.a. eine mehrfache Verletzung des Bankgeheimnisses nach Art. 47 BankG vorgeworfen. Das Bezirksgericht Zürich erklärte ihn deswegen am 19. Januar 2011 und 12. Januar 2015 schuldig. Das Obergericht des Kantons Zürich sprach ihn mit Urteil vom 19. August 2016 mangels eines Anstellungsverhältnisses mit der Bank A.________ AG von den Vorwürfen der Verletzung von Art. 47 BankG frei. Dagegen gelangte die Staatsanwaltschaft mit Beschwerde in Strafsachen an das Bundesgericht, wo die Beschwerde derzeit noch hängig ist. Am 13. Februar 2015 erstattete der Beschwerdeführer Strafanzeige gegen (frühere) Angestellte der Bank A.________ AG. Er wirft diesen vor, sie hätten den Strafbehörden vorgetäuscht, er sei in der massgeblichen Zeit in einem Anstellungsverhältnis zur Bank A.________ AG gestanden. Namentlich hätten sie in Beantwortung der staatsanwaltschaftlichen Editionsverfügung vom 27. Juli 2005 sein Personaldossier nur unvollständig eingereicht. Die Staatsanwaltschaft III des Kantons Zürich nahm die Strafuntersuchung mit Verfügung vom 8. Dezember 2015 nicht an die Hand. Die vom Beschwerdeführer dagegen erhobene Beschwerde wies das Obergericht des Kantons Zürich mit Beschluss vom 12. Januar 2017 ab, soweit es darauf eintrat. Gegen den Beschluss vom 12. Januar 2017 führt der Beschwerdeführer Beschwerde beim Bundesgericht.</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Der Beschwerdeführer macht geltend, er habe erhebliche materielle Nachteile erlitten und sein Ansehen sei in der Öffentlichkeit geschädigt worden. Aufgrund des Verhaltens der angezeigten Personen sei das Strafverfahren betreffend Verletzung des schweizerischen Bankgeheimnisses nicht umgehend eingestellt, sondern weitergeführt worden. Wegen des laufenden Strafverfahrens habe er keine Arbeitsstelle in der Schweiz finden können. Zudem habe er 217 Tage in Untersuchungs- bzw. Isolationshaft verbracht. Das gesamte kostenintensive Strafverfahren hätte abgewendet werden können. Diesen Ausführungen des Beschwerdeführers kann nicht entnommen werden, inwiefern ihm Zivilansprüche im Sinne von Art. 81 Abs. 1 lit. b Ziff. 5 BGG gegen die angezeigten Personen zustehen könnten. Für die ihr im Zusammenhang mit einem Strafverfahren entstandenen finanziellen Einbussen sowie die allenfalls zu Unrecht erstandene Untersuchungshaft oder anderweitige besonders schwere Verletzungen ihrer persönlichen Verhältnisse ist die freigesprochene beschuldigte Person gestützt auf Art. 429 StPO zu entschädigen. Direkte Schadenersatz- oder Genugtuungsansprüche gegen die (früheren) Angestellten der Bank A.________ AG stehen dem Beschwerdeführer diesbezüglich nicht zu. Dieser zeigt auch nicht rechtsgenügend auf, inwiefern das inkriminierte Verhalten der angezeigten Personen direkt kausal dafür gewesen sein könnte, dass er keine Anstellung mehr fand. Der Beschwerdeführer ist daher nicht im Sinne von Art. 81 Abs. 1 lit. b Ziff. 5 BGG zur Beschwerde legitimiert.</w:t>
      </w:r>
    </w:p>
    <w:p>
      <w:r>
        <w:rPr>
          <w:b/>
        </w:rPr>
        <w:t>E. 4</w:t>
      </w:r>
    </w:p>
    <w:p>
      <w:r>
        <w:t>Ungeachtet der Legitimation in der Sache nach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Der Beschwerdeführer rügt, die Unabhängigkeit des Gerichts sei anzuzweifeln (vgl. Beschwerde S. 29). Nähere Ausführungen dazu bleibt er allerdings schuldig. Darauf ist daher ebenfalls nicht einzutreten, da die Rüge den gesetzlichen Begründungsanforderungen nicht genügt (vgl. Art. 42 Abs. 2 und Art. 106 Abs. 2 BGG ).</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