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221/2025 vom 4. April 2025</w:t>
      </w:r>
    </w:p>
    <w:p>
      <w:r>
        <w:t>Bundesgericht, 2025-04-04, FR</w:t>
      </w:r>
    </w:p>
    <w:p>
      <w:r>
        <w:rPr>
          <w:b/>
        </w:rPr>
        <w:t xml:space="preserve">Quelle: </w:t>
      </w:r>
      <w:r>
        <w:t>https://mcp.opencaselaw.ch/entscheid/bger_6B_221_2025</w:t>
      </w:r>
    </w:p>
    <w:p>
      <w:r>
        <w:t>FR: TF 6B 221/2025 du 4 avril 2025</w:t>
      </w:r>
    </w:p>
    <w:p>
      <w:r>
        <w:t>IT: TF 6B 221/2025 del 4 aprile 2025</w:t>
      </w:r>
    </w:p>
    <w:p>
      <w:pPr>
        <w:pStyle w:val="Heading2"/>
      </w:pPr>
      <w:r>
        <w:t>Regeste</w:t>
      </w:r>
    </w:p>
    <w:p>
      <w:r>
        <w:t>Expulsion | Droit pénal (en général)</w:t>
      </w:r>
    </w:p>
    <w:p>
      <w:pPr>
        <w:pStyle w:val="Heading2"/>
      </w:pPr>
      <w:r>
        <w:t>Erwägungen</w:t>
      </w:r>
    </w:p>
    <w:p>
      <w:r>
        <w:rPr>
          <w:b/>
        </w:rPr>
        <w:t>E. 1</w:t>
      </w:r>
    </w:p>
    <w:p>
      <w:r>
        <w:t>Le recourant conteste son expulsion du territoire suisse.</w:t>
      </w:r>
    </w:p>
    <w:p>
      <w:r>
        <w:rPr>
          <w:b/>
        </w:rPr>
        <w:t>E. 1.1.1</w:t>
      </w:r>
    </w:p>
    <w:p>
      <w:r>
        <w:t>Aux termes de l' art. 66a al. 1 let . l CP, le juge expulse de Suisse l'étranger qui est condamné notamment pour actes préparatoires délictueux ( art. 260bis al. 1 et 3 CP ), quelle que soit la quotité de la peine prononcée à son encontre, pour une durée de cinq à quinze ans. En l'espèce, le recourant, de nationalité espagnole, qui a notamment été reconnu coupable d'actes préparatoires à meurtre, remplit a priori les conditions d'une expulsion, sous la réserve d'une application de l' art. 66a al. 2 CP , voire du droit international.</w:t>
      </w:r>
    </w:p>
    <w:p>
      <w:r>
        <w:rPr>
          <w:b/>
        </w:rPr>
        <w:t>E. 1.1.2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 arrêt 6B_627/2024 du 8 octobre 2024 consid. 1.2).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6B_625/2024 du 12 décembre 2024 consid. 3.1.2).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6B_886/2024 du 3 février 2025 consid. 3.1.2).</w:t>
      </w:r>
    </w:p>
    <w:p>
      <w:r>
        <w:rPr>
          <w:b/>
        </w:rPr>
        <w:t>E. 1.1.3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 6B_886/2024 précité consid. 3.1.2). 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1.1.4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6B_886/2024 précité consid. 3.1.3; 6B_327/2024 du 11 décembre 2024 consid. 4.4).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6B_886/2024 précité consid. 3.1.3; 6B_327/2024 précité consid. 4.4; 6B_350/2024 du 7 novembre 2024 consid. 1.2.4).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6B_514/2024 du 17 février 2025 consid. 3.4.2; 6B_327/2024 précité consid. 4.4).</w:t>
      </w:r>
    </w:p>
    <w:p>
      <w:r>
        <w:rPr>
          <w:b/>
        </w:rPr>
        <w:t>E. 1.1.5</w:t>
      </w:r>
    </w:p>
    <w:p>
      <w:r>
        <w:t>Enfin, par l'accord sur la libre circulation des personnes (ALCP), la Suisse a en substance accordé aux ressortissants des États membres de l'Union européenne un droit étendu et réciproque à l'exercice d'une activité lucrative ( ATF 145 IV 364 consid. 3.4.1). 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 ATF 145 IV 364 consid. 3.5.2; 145 IV 55 consid. 4.4; arrêt 6B_322/2023 du 9 mars 2024 consid. 1.6.4).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 Les restrictions à la libre circulation au sens de l' art. 5 par. 1 annexe I ALCP doivent ainsi être interprétées restrictivement; il ne peut être renvoyé simplement à l'ordre public indépendamment d'une perturbation de l'ordre social propre à toute infraction pénale ( ATF 145 IV 364 consid. 3.5.2 et les références citées).</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1.3</w:t>
      </w:r>
    </w:p>
    <w:p>
      <w:r>
        <w:t>La cour cantonale a relevé, à l'instar des premiers juges, que, sous l'angle de la garantie au respect de la vie familiale du recourant, ses seuls liens qui subsistaient avec la Suisse étaient ses filles, âgées de dix et sept ans, avec lesquelles les relations avaient toutefois été durablement rompues par l'exécution d'une peine en raison d'infractions dont elles avaient également été victimes ( art. 123 ch. 2 CP , art. 22 al. 1 ad 181 et 219 CP). Pour le reste, la famille du recourant se trouvait à l'étranger, principalement en Équateur et aux États-Unis, où celui-ci avait d'ailleurs vécu durablement. Ses liens familiaux en Suisse étaient dès lors ténus. Sous l'angle de son droit au respect de sa vie privée, la cour cantonale a relevé que le recourant n'était arrivé sur le territoire helvétique qu'en 2016, à l'âge de 34 ans. Au bénéfice d'un CFC, il était toutefois sans emploi lors de son arrestation, après avoir exercé dans divers établissements hôteliers. Le recourant ne pouvait dès lors pas se prévaloir de liens sociaux et professionnels particulièrement intenses avec la Suisse. Selon la cour cantonale, il était permis donc de douter de la réalisation d'un cas de rigueur, dès lors que l'expulsion du recourant ne le placerait pas dans une situation personnelle grave. Même à supposer que celui-ci fût réalisé, il était manifeste que l'intérêt public à l'expulsion l'emportait sur l'intérêt privé du recourant à rester en Suisse, compte tenu de la gravité des infractions commises et du risque de récidive d'actes de même nature qu'il présentait, référence étant faite à ses antécédents et son manque d'introspection. Enfin, les moyens de communication modernes permettraient au recourant d'avoir des échanges avec ses filles et l'on ne discernait aucun motif s'opposant à sa resocialisation en Espagne, où il avait d'ailleurs séjourné et travaillé avant de venir en Suisse. La cour cantonale a donc conclu que c'était à bon droit que l'autorité inférieure avait ordonné l'expulsion du recourant, la durée de huit ans étant par ailleurs adéquate au regard de sa culpabilité et de la nécessité de maintenir, à long terme, un lien avec ses filles.</w:t>
      </w:r>
    </w:p>
    <w:p>
      <w:r>
        <w:rPr>
          <w:b/>
        </w:rPr>
        <w:t>E. 1.4</w:t>
      </w:r>
    </w:p>
    <w:p>
      <w:r>
        <w:t>Le recourant reproche à la cour cantonale de ne pas avoir tenu compte de sa nationalité espagnole alors que l'Espagne est un État partie à l'ALCP. Il soutient en outre qu'aucun élément ne démontre un risque de récidive imminent ou une menace persistante pour la sécurité publique. Il invoque son comportement depuis les faits reprochés, son intégration sociale et professionnelle ainsi que son absence d'antécédents judiciaires récents, qui témoigneraient, selon lui, d'une évolution positive incompatible avec la qualification de danger actuel. En l'espèce, le recourant, ressortissant espagnol, a été condamné à une peine privative de liberté de quatre ans pour actes préparatoires à meurtre à l'égard de son ex-épouse et la mère de ses enfants, ainsi que pour menaces qualifiées, tentative de contrainte et violation du devoir d'assistance ou d'éducation. Les infractions commises sont très graves et le recourant s'en est pris au bien juridique protégé le plus précieux, à savoir la vie d'une personne. De plus, l'intéressé avait déjà été condamné en 2023 pour lésions corporelles simples qualifiées sur ses filles, ce qui constitue également une atteinte à l'intégrité physique. Comme l'a relevé la cour cantonale, l'intéressé présente un risque de récidive d'actes de même nature, compte tenu de ses antécédents et de son manque d'introspection. En tant que le recourant invoque sa prise de conscience, il oppose sa propre appréciation à celle de la cour cantonale sans démontrer en quoi celle-ci serait arbitraire, de sorte que son argumentation est irrecevable. Dans ces circonstances, il faut admettre qu'il présente une menace actuelle et réelle pour l'ordre public. Par conséquent, l'ALCP ne fait pas obstacle à son expulsion.</w:t>
      </w:r>
    </w:p>
    <w:p>
      <w:r>
        <w:rPr>
          <w:b/>
        </w:rPr>
        <w:t>E. 1.5</w:t>
      </w:r>
    </w:p>
    <w:p>
      <w:r>
        <w:t>Le recourant se plaint d'une violation de l' art. 66a CP . Il reproche à la cour cantonale de ne pas avoir procédé à une analyse des critères d'appréciation pour aboutir à une pesée des intérêts adéquate. Il reproche à la cour cantonale de ne pas avoir suffisamment tenu compte de la durée de son séjour en Suisse, du fait qu'en cas d'expulsion, il devra renoncer à ses perspectives professionnelles en Suisse après avoir suivi une formation suisse, et qu'il sera renvoyé dans un pays dont le système diffère drastiquement de ce qu'il a connu ces dix dernières années. Il fait également valoir qu'il sera arraché à ses enfants et que leur mère sera seule en Suisse avec toute la responsabilité financière et éducationnelle.</w:t>
      </w:r>
    </w:p>
    <w:p>
      <w:r>
        <w:rPr>
          <w:b/>
        </w:rPr>
        <w:t>E. 1.5.1</w:t>
      </w:r>
    </w:p>
    <w:p>
      <w:r>
        <w:t>En l'espèce, selon les constatations cantonales qui lient le Tribunal fédéral ( art. 105 al. 1 LTF ), avant les faits reprochés le recourant disposait d'un droit de visite sur ses filles mineures. En tant que le recourant se prévaut de l'"intensité des rapports familiaux", il oppose sa propre appréciation à celle de la cour cantonale, sans démontrer en quoi celle-ci serait arbitraire, ce qui n'apparaît pas être le cas. À cet égard, on relèvera que le recourant a lui-même déclaré lors des débats d'appel que, depuis le jugement de première instance, il n'avait la visite de ses filles qu'une fois par mois. Dans ces conditions, il ne peut se prévaloir d'une atteinte à la garantie de la vie familiale. S'agissant de son droit au respect de sa vie privée au sens de l' art. 8 CEDH , le recourant fait valoir qu'il a toujours exercé une activité professionnelle et a subvenu aux besoins de sa famille sans recourir aux aides de l'État. Il est cependant douteux qu'il puisse se prévaloir de liens sociaux et professionnels particulièrement intenses avec la Suisse, dès lors qu'il est arrivé en Suisse qu'en 2016 à l'âge de 34 ans et qu'il était sans emploi lors de son arrestation. Quoi qu'il en soit, la question peut demeurer indécise, compte tenu du résultat auquel conduit la pesée des intérêts prévue par l' art. 66a al. 2 CP (cf. infra consid. 1.5.2).</w:t>
      </w:r>
    </w:p>
    <w:p>
      <w:r>
        <w:rPr>
          <w:b/>
        </w:rPr>
        <w:t>E. 1.5.2.1</w:t>
      </w:r>
    </w:p>
    <w:p>
      <w:r>
        <w:t>L'intérêt public présidant à l'expulsion du recourant s'avère considérable, compte tenu de la gravité des faits ayant conduit à sa condamnation, de ses antécédents et du risque de récidive qu'il présente (cf. supra consid. 1.4). De plus, l'intéressé a été condamné à une peine privative de liberté supérieure à deux ans, de sorte que la jurisprudence précitée (" Zweijahresregel "; cf. supra consid. 1.1.3) exige l'existence de circonstances extraordinaires pour que l'intérêt privé du recourant à rester en Suisse l'emporte sur l'intérêt public à une expulsion, ce qui n'est manifestement pas le cas en l'espèce. Pour le surplus, c'est en vain que le recourant soutient que la menace qu'il représenterait diminuerait avec l'écoulement du temps, en raison de sa condamnation à une peine de quatre ans. En effet, bien que l'exécution de la peine puisse avoir un effet sur le comportement du condamné, cet élément n'est pas de nature à modifier la pesée des intérêts réalisée par la cour cantonale et la conclusion selon laquelle il constitue une menace actuelle et réelle pour l'ordre public.</w:t>
      </w:r>
    </w:p>
    <w:p>
      <w:r>
        <w:rPr>
          <w:b/>
        </w:rPr>
        <w:t>E. 1.5.2.2</w:t>
      </w:r>
    </w:p>
    <w:p>
      <w:r>
        <w:t>Le recourant a certes un intérêt privé à demeurer en Suisse compte tenu de la durée de son séjour dans ce pays (huit ans au moment du jugement attaqué et non dix ans comme il l'allègue) et du fait qu'il y a travaillé dans divers établissements et a obtenu en 2021 un CFC de l'école professionnelle de V.________. Cet intérêt doit cependant être relativisé dès lors que l'intéressé était sans emploi au moment de son arrestation et que ses seuls liens restants avec la Suisse sont ses deux filles, âgées de dix ans et sept ans, avec lesquelles il entretient des relations ténues, en raison notamment des infractions qu'il a commises, dont elles ont été victimes. Tous ses autres liens familiaux se trouvent par ailleurs à l'étranger. En outre, des contacts demeureront possibles entre le recourant et ses filles grâce aux moyens de télécommunication modernes et rien n'empêchera celles-ci de lui rendre visite en Espagne, étant par ailleurs rappelé que la mesure d'expulsion reste d'une durée limitée. Le recourant soutient qu'il n'a ni famille ni amis en Espagne. Toutefois, en ce qui concerne sa réintégration dans ce pays, sa réinsertion professionnelle n'apparaît pas aussi compromise que ce qu'il le prétend dès lors qu'il parle couramment la langue - contrairement à la langue française - et y a déjà travaillé. Ainsi, les chances de réintégration en Espagne n'apparaissent pas plus faibles qu'en Suisse.</w:t>
      </w:r>
    </w:p>
    <w:p>
      <w:r>
        <w:rPr>
          <w:b/>
        </w:rPr>
        <w:t>E. 1.5.3</w:t>
      </w:r>
    </w:p>
    <w:p>
      <w:r>
        <w:t>En définitive, compte tenu des liens familiaux ténus du recourant en Suisse, de la gravité des infractions commises, de ses antécédents, du risque de récidive ainsi que de ses possibilités de réinsertion en Espagne, la cour cantonale n'a pas violé le droit fédéral en considérant que l'intérêt public à son expulsion l'emportait sur son intérêt privé à demeurer en Suisse.</w:t>
      </w:r>
    </w:p>
    <w:p>
      <w:r>
        <w:rPr>
          <w:b/>
        </w:rPr>
        <w:t>E. 1.6</w:t>
      </w:r>
    </w:p>
    <w:p>
      <w:r>
        <w:t>Il s'ensuit que la cour cantonale n'a pas violé le droit fédéral, ni le droit conventionnel, en ordonnant l'expulsion du recourant. Le grief doit être rejeté dans la mesure de sa recevabilité.</w:t>
      </w:r>
    </w:p>
    <w:p>
      <w:r>
        <w:rPr>
          <w:b/>
        </w:rPr>
        <w:t>E. 1.7</w:t>
      </w:r>
    </w:p>
    <w:p>
      <w:r>
        <w:t>Pour le surplus, le recourant ne remet pas en cause la durée de l'expulsion prononcée à son encontre ( art. 42 al. 2 LTF ). On se limitera à relever que fixée à huit ans, celle-ci n'apparaît, au vu des circonstances, pas disproportionnée.</w:t>
      </w:r>
    </w:p>
    <w:p>
      <w:r>
        <w:rPr>
          <w:b/>
        </w:rPr>
        <w:t>E. 2</w:t>
      </w:r>
    </w:p>
    <w:p>
      <w:r>
        <w:t>Au vu de ce qui précède, le recours doit être rejeté dans la mesure où il est recevable. Comme il était dénué de chances de succès, la demande d'assistance judiciaire doit être rejetée ( art. 64 al. 1 LTF a contrario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