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6B_221/2015 vom 10. Februar 2016</w:t>
      </w:r>
    </w:p>
    <w:p>
      <w:r>
        <w:t>Bundesgericht, 2016-02-10, FR</w:t>
      </w:r>
    </w:p>
    <w:p>
      <w:r>
        <w:rPr>
          <w:b/>
        </w:rPr>
        <w:t xml:space="preserve">Quelle: </w:t>
      </w:r>
      <w:r>
        <w:t>https://mcp.opencaselaw.ch/entscheid/bger_6B_221_2015</w:t>
      </w:r>
    </w:p>
    <w:p>
      <w:r>
        <w:t>FR: TF 6B_221/2015 du 10 février 2016</w:t>
      </w:r>
    </w:p>
    <w:p>
      <w:r>
        <w:t>IT: TF 6B_221/2015 del 10 febbraio 2016</w:t>
      </w:r>
    </w:p>
    <w:p>
      <w:pPr>
        <w:pStyle w:val="Heading2"/>
      </w:pPr>
      <w:r>
        <w:t>Erwägungen</w:t>
      </w:r>
    </w:p>
    <w:p>
      <w:r>
        <w:rPr>
          <w:b/>
        </w:rPr>
        <w:t>E. 1</w:t>
      </w:r>
    </w:p>
    <w:p>
      <w:r>
        <w:t>Le recourant conteste avoir été le conducteur du véhicule ayant circulé, selon une vidéo retrouvée sur son téléphone mobile, le 21 avril 2011 vers 3 h 20 jusqu'à 324 km/h, soit 275 km/h marge de sécurité déduite. Il y voit un établissement inexact des faits, une violation des art. 9 Cst. et 10 al. 2 et 3 CPP.</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140 III 264 consid. 2.3 p. 266).</w:t>
      </w:r>
    </w:p>
    <w:p>
      <w:r>
        <w:t>Lorsque le tribunal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reproduit aux ATF 138 I 97 et arrêts cités).</w:t>
      </w:r>
    </w:p>
    <w:p>
      <w:r>
        <w:rPr>
          <w:b/>
        </w:rPr>
        <w:t>E. 1.2</w:t>
      </w:r>
    </w:p>
    <w:p>
      <w:r>
        <w:t>En l'occurrence, le recourant conteste être le conducteur du véhicule lors des excès de vitesse susmentionnés, soit un fait retenu par l'autorité précédente. Son argumentation consiste toutefois à nier l'existence de versions différentes données par ses soins en cours d'instruction, puis à les minimiser. Il propose pour le surplus d'autres possibilités d'interpréter les indices à charge, sans démontrer en quoi l'appréciation de ces éléments par l'autorité précédente aurait été insoutenable. Il s'agit d'une motivation purement appellatoire et dès lors irrecevable.</w:t>
      </w:r>
    </w:p>
    <w:p>
      <w:r>
        <w:t>Au demeurant, le recourant ne conteste pas avoir filmé la course avec son téléphone mobile, mais uniquement avoir été au volant du véhicule durant celle-ci. Il est certes techniquement imaginable qu'il ait été derrière le conducteur, se soit avancé contre le siège avant, ait tendu le bras et se soit approché suffisamment près du volant pour filmer le cadran, mais non pas la partie droite du corps du conducteur. Il n'en reste pas moins qu'aucune parole n'a été prononcée durant toute la course par ce prétendu conducteur et que le recourant a donné à cet égard des explications contradictoires. La main droite du conducteur n'était de plus jamais visible, de sorte qu'il était soutenable de penser qu'elle était occupée à faire autre chose, durant toute la course, qu'à tenir le volant, la main gauche du conducteur se retrouvant ainsi jusqu'à la position de trois heures sur le volant. Enfin, la main gauche du conducteur porte une montre de luxe à diffusion limitée similaire à celle du recourant - ce dernier contestant ce fait de manière appellatoire et donc irrecevable, alors même qu'il l'avait admis lors de l'audience de première instance (cf. jugement du 16 mai 2014, p. 15). L'ensemble de ces indices déjà permettaient à l'autorité précédente de retenir sans arbitraire que le recourant était au volant du véhicule lors de la course.</w:t>
      </w:r>
    </w:p>
    <w:p>
      <w:r>
        <w:rPr>
          <w:b/>
        </w:rPr>
        <w:t>E. 2</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