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6B_21/2011 vom 9. März 2011</w:t>
      </w:r>
    </w:p>
    <w:p>
      <w:r>
        <w:t>Bundesgericht, 2011-03-09, DE</w:t>
      </w:r>
    </w:p>
    <w:p>
      <w:r>
        <w:rPr>
          <w:b/>
        </w:rPr>
        <w:t xml:space="preserve">Quelle: </w:t>
      </w:r>
      <w:r>
        <w:t>https://mcp.opencaselaw.ch/entscheid/bger_6B_21_2011</w:t>
      </w:r>
    </w:p>
    <w:p>
      <w:r>
        <w:t>FR: TF 6B_21/2011 du 9 mars 2011</w:t>
      </w:r>
    </w:p>
    <w:p>
      <w:r>
        <w:t>IT: TF 6B_21/2011 del 9 marzo 2011</w:t>
      </w:r>
    </w:p>
    <w:p>
      <w:pPr>
        <w:pStyle w:val="Heading2"/>
      </w:pPr>
      <w:r>
        <w:t>Erwägungen</w:t>
      </w:r>
    </w:p>
    <w:p>
      <w:r>
        <w:rPr>
          <w:b/>
        </w:rPr>
        <w:t>E. 1</w:t>
      </w:r>
    </w:p>
    <w:p>
      <w:r>
        <w:t>Dem Beschwerdeführer wurde mit zwei Verfügungen vom 11. und 12. Januar 2011 für beide Beschwerden eine Frist bis zum 1. bzw. 2. Februar 2011 angesetzt, um dem Bundesgericht je einen Kostenvorschuss von Fr. 2'000.-- einzuzahlen. Nachdem er noch im Januar 2011 sinngemäss mitgeteilt hatte, er werde die Vorschüsse nicht leisten, teilte ihm das Bundesgericht mit zwei Schreiben vom 13. und 19. Januar 2011 mit, dass daran festgehalten werde. Nachdem die Vorschüsse nicht eingingen, wurde dem Beschwerdeführer mit zwei Verfügungen vom 7. Februar 2011 die gesetzlich vorgeschriebene Nachfrist zur Leistung bis 25. Februar 2011 angesetzt, ansonsten auf das Rechtsmittel nicht eingetreten werde. Der Beschwerdeführer teilte mit Schreiben vom 25. Februar 2011 mit, da er im Interesse der Allgemeinheit handle, seien die Kosten auf die Staatskasse zu nehmen. Damit ist er nicht zu hören, denn grundsätzlich hat jeder, der das Bundesgericht anruft, den in Art. 62 Abs. 1 BGG vorgeschriebenen Kostenvorschuss zu leisten. Da die Vorschüsse innert Nachfrist nicht eingingen, ist auf die Beschwerden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