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6B_219/2020 vom 4. August 2020</w:t>
      </w:r>
    </w:p>
    <w:p>
      <w:r>
        <w:t>Bundesgericht, 2020-08-04, FR</w:t>
      </w:r>
    </w:p>
    <w:p>
      <w:r>
        <w:rPr>
          <w:b/>
        </w:rPr>
        <w:t xml:space="preserve">Quelle: </w:t>
      </w:r>
      <w:r>
        <w:t>https://mcp.opencaselaw.ch/entscheid/bger_6B_219_2020</w:t>
      </w:r>
    </w:p>
    <w:p>
      <w:r>
        <w:t>FR: TF 6B_219/2020 du 4 août 2020</w:t>
      </w:r>
    </w:p>
    <w:p>
      <w:r>
        <w:t>IT: TF 6B_219/2020 del 4 agosto 2020</w:t>
      </w:r>
    </w:p>
    <w:p>
      <w:pPr>
        <w:pStyle w:val="Heading2"/>
      </w:pPr>
      <w:r>
        <w:t>Erwägungen</w:t>
      </w:r>
    </w:p>
    <w:p>
      <w:r>
        <w:rPr>
          <w:b/>
        </w:rPr>
        <w:t>E. 1</w:t>
      </w:r>
    </w:p>
    <w:p>
      <w:r>
        <w:t>Le recours s'ouvre sur une sélection de certaines déclarations de parties et d'extraits de documents (journal du SPMi, attestation de psychologue), sans aucune motivation justifiant en quoi les conditions de l' art. 97 al. 1 LTF seraient remplies s'agissant des éléments qui y sont développés. Il n'y a pas lieu de s'y arrêter.</w:t>
      </w:r>
    </w:p>
    <w:p>
      <w:r>
        <w:rPr>
          <w:b/>
        </w:rPr>
        <w:t>E. 2</w:t>
      </w:r>
    </w:p>
    <w:p>
      <w:r>
        <w:t>Le recourant reproche à la cour cantonale d'avoir fait preuve d'arbitraire dans l'établissement des faits et dans l'appréciation des preuves et d'avoir violé le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142 III 364 consid. 2.4 p. 368 et les références citées).</w:t>
      </w:r>
    </w:p>
    <w:p>
      <w:r>
        <w:t>La présomption d'innocence, garantie par les art. 10 CPP , 32 al. 1 Cst. et 6 par. 2 CEDH, ainsi que son corollaire, le principe "in dubio pro reo",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t>Les déclarations de la victime constituent un élément de preuve. Le juge doit, dans l'évaluation globale de l'ensemble des éléments probatoires rassemblés au dossier, les apprécier librement (arrêts 6B_1283/2019 du 21 janvier 2020 consid. 1.2; 6B_1283/2018 du 14 février 2019 consid. 1.3),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6B_1283/2019 du 21 janvier 2020 consid. 1.2; 6B_1283/2018 du 14 février 2019 consid. 1.3).</w:t>
      </w:r>
    </w:p>
    <w:p>
      <w:r>
        <w:rPr>
          <w:b/>
        </w:rPr>
        <w:t>E. 2.2</w:t>
      </w:r>
    </w:p>
    <w:p>
      <w:r>
        <w:t>En substance, la cour cantonale a établi les faits en appréciant notamment la situation familiale, les déclarations du recourant et de l'intimée 3, ainsi qu'en tenant compte du processus de dévoilement de cette dernière et de ses troubles comportementaux et psychiques.</w:t>
      </w:r>
    </w:p>
    <w:p>
      <w:r>
        <w:t>La jeune fille avait livré, avec une émotion perceptible, des déclarations détaillées et constantes. Le processus de dévoilement n'apparaissait pas avoir été influencé d'une quelconque manière. Après avoir suivi des cours d'éducation sexuelle, la jeune fille avait parlé des actes subis à sa meilleure amie et avait commis une tentative de suicide. Elle s'était confiée au sujet de ces abus lors d'une hospitalisation, puis brièvement à sa mère. Elle avait abordé la question de manière plus détaillée avec une psychologue qui l'avait conduite à se livrer aux autorités pénales. La jeune fille n'avait pas cherché à charger le recourant, ayant d'emblée indiqué que les attouchements dénoncés avaient été commis " sans violence " ni pénétration et ayant relevé qu'il était alcoolisé à chaque fois, ce qui modifiait son attitude. La cour cantonale n'a relevé aucun bénéfice secondaire aux accusations portées, l'enfant ayant affectionné son père et longtemps espéré le voir davantage, et sa mère ayant fait de son mieux pour favoriser la relation entre le recourant et leurs enfants, jusqu'à l'accueillir dans son foyer malgré leur séparation et ses problèmes d'alcoolisme. Les troubles comportementaux et psychiques affectant la jeune fille et leur évolution renforçaient la crédibilité de ses déclarations. La sévérité des troubles ne s'expliquait pas uniquement par le contexte familial difficile. Ceux-ci avaient été objectivés par la psychologue ayant suivi la jeune fille et avaient été mis en lien avec un diagnostic d'abus sexuel intrafamilial, tel que cela ressortait des témoignages de la psychologue et de son attestation du 4 mai 2017.</w:t>
      </w:r>
    </w:p>
    <w:p>
      <w:r>
        <w:t>A l'inverse de l'intimée 3, le recourant avait varié dans ses déclarations ou fourni des explications peu convaincantes. Il avait d'abord nié avoir séjourné 15 jours au domicile de son ex-compagne au printemps 2009, puis avait fini par le concéder au vu des renseignements de police obtenus. De même, après avoir déclaré qu'il n'aimait pas se masturber en raison des principes de la religion musulmane, il avait admis qu'il lui arrivait de s'adonner à cette pratique le soir. Le recourant avait mis les accusations de sa fille tantôt sur le compte de ses difficultés psychiques, transmises " par hérédité ", avant de suggérer qu'elles pouvaient venir de sa grand-mère maternelle ou du fait que la jeune fille avait pris des bains avec son frère, ou encore qu'elles auraient été motivées par un désir de vengeance du fait de ses absences, sans qu'aucune de ces hypothèses ne trouve assise dans le dossier.</w:t>
      </w:r>
    </w:p>
    <w:p>
      <w:r>
        <w:t>En définitive, la cour cantonale a retenu que les faits décrits au printemps 2009 emportaient sa conviction. Elle a toutefois émis un doute quant à des abus commis en 2007/2008, relevant que, si elle n'avait pas de raison de douter de la crédibilité de l'intimée 3, cette dernière n'avait pas mentionné d'abus antérieurs avant ses déclarations au ministère public et le dossier faisait état de nervosité et de difficultés à dormir à partir de 2009. En outre, contrairement au séjour de 2009, le dossier du SPMi ne contenait aucune indication concernant un séjour du recourant au domicile familial en 2007 et 2008.</w:t>
      </w:r>
    </w:p>
    <w:p>
      <w:r>
        <w:rPr>
          <w:b/>
        </w:rPr>
        <w:t>E. 2.3</w:t>
      </w:r>
    </w:p>
    <w:p>
      <w:r>
        <w:t>En l'espèce, l'argumentation du recourant procède d'une large rediscussion des faits et de l'appréciation des preuves à laquelle a procédé la cour cantonale. Cette démarche portant notamment sur sa propre appréciation de l'attestation de la psychologue, du journal du SPMi, des déclarations de la victime et de sa mère, du processus de dévoilement de la victime, ainsi que de ses propres déclarations et sa personnalité, est purement appellatoire. On se limitera, dans la suite, à répondre aux griefs, dans la mesure où ils n'apparaissent pas d'emblée manifestement irrecevables pour ce motif.</w:t>
      </w:r>
    </w:p>
    <w:p>
      <w:r>
        <w:t>Selon le recourant, la cour cantonale a fait preuve d'arbitraire en retenant que les troubles comportementaux et psychiques seraient apparus précisément depuis 2009 chez l'enfant et en tenant compte du fait que son frère et sa soeur n'avaient pas rencontré de telles difficultés. Or le recourant ne motive d'aucune manière en quoi la date exacte d'apparition des troubles comportementaux et psychiques - lesquels sont établis et incontestés - serait pertinente dans la configuration d'espèce. En tout état, dans la mesure où la mère de l'intimée 3 a fait état des difficultés à dormir de cette dernière et de sa nervosité, présentes depuis 2009, la cour cantonale pouvait, sans arbitraire, retenir cet élément dans l'évolution de l'état psychique de la jeune fille. En outre, en se contentant d'affirmer qu'il est notoire que chaque enfant se développe différemment dans un milieu identique, le recourant échoue à démontrer que la cour cantonale aurait versé dans l'arbitraire en tenant compte, parmi de nombreux autres éléments, du fait que l'intimée 3 avait souffert de troubles sévères, contrairement au reste de la fratrie.</w:t>
      </w:r>
    </w:p>
    <w:p>
      <w:r>
        <w:t>Le recourant prétend que les déclarations de sa fille n'ont pas été</w:t>
      </w:r>
    </w:p>
    <w:p>
      <w:r>
        <w:t>"aussi constantes que veut bien le retenir" la cour cantonale, dès lors qu'elles auraient varié quant aux faits reprochés initialement pour les années 2007-2008, pour lesquels il a finalement été acquitté. Or la cour cantonale a expressément distingué les déclarations concernant les faits de 2007-2008 de ceux de 2009, estimant qu'un doute persistait pour cette première période. Le recourant ne tente ni ne parvient à démontrer que les déclarations n'auraient pas été constantes s'agissant de la période litigieuse. Là encore, le recourant procède de manière purement appellatoire, l'appréciation pertinente de la cour cantonale des déclarations de la jeune fille se limitant aux faits de 2009.</w:t>
      </w:r>
    </w:p>
    <w:p>
      <w:r>
        <w:t>En définitive, le recourant ne parvient pas à démontrer que l'établissement des faits et l'appréciation des preuves seraient entachés d'arbitraire. Ses griefs sur ce point doivent être rejetés dans la faible mesure de leur recevabilité.</w:t>
      </w:r>
    </w:p>
    <w:p>
      <w:r>
        <w:rPr>
          <w:b/>
        </w:rPr>
        <w:t>E. 3</w:t>
      </w:r>
    </w:p>
    <w:p>
      <w:r>
        <w:t>Le recourant ne conteste d'aucune manière la qualification juridique des faits établis et dont l'arbitraire n'a pas été démontré. Il ne forme aucun grief sous l'angle des art. 187 et 189 CP , de sorte qu'il n'y a pas lieu de s'y arrêter.</w:t>
      </w:r>
    </w:p>
    <w:p>
      <w:r>
        <w:rPr>
          <w:b/>
        </w:rPr>
        <w:t>E. 4</w:t>
      </w:r>
    </w:p>
    <w:p>
      <w:r>
        <w:t>Le recourant s'en prend à la quotité de la peine fixée par la cour cantonale. Il se prévaut de l' art. 48 let . e CP.</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A teneur de l' art. 48 let . e CP, le juge atténue la peine si l'intérêt à punir a sensiblement diminué en raison du temps écoulé depuis l'infraction et que le prévenu s'est bien comporté dans l'intervalle (cf. notamment ATF 140 IV 145 consid. 3.1 p. 147 s. s'agissant de cette disposition).</w:t>
      </w:r>
    </w:p>
    <w:p>
      <w:r>
        <w:rPr>
          <w:b/>
        </w:rPr>
        <w:t>E. 4.2</w:t>
      </w:r>
    </w:p>
    <w:p>
      <w:r>
        <w:t>La cour cantonale a retenu que la faute du recourant était importante. Il avait commis à plusieurs reprises des actes d'ordre sexuel sur sa fille, alors âgée de neuf ans, en profitant de son jeune âge, de la figure parentale envers elle et des circonstances telles que l'enfant ne pouvait s'y soustraire. Il avait en outre violé les règles cardinales dans le domaine de la circulation routière, de façon à mettre potentiellement la sécurité des usages en danger, et avait continué à faire fi des règles en matière de droit des étrangers.</w:t>
      </w:r>
    </w:p>
    <w:p>
      <w:r>
        <w:t>Ses mobiles relevaient de l'égoïsme et d'un manque de considération pour autrui, s'agissant notamment de satisfaire des pulsions primaires en dépit de répercussions sérieuses sur le développement de sa propre fille. La collaboration du recourant avait été mauvaise, celui-ci s'enfermant dans ses dénégations pour les actes les plus graves, quitte à livrer des déclarations sans fondement. Il en allait de même de sa prise de conscience, inexistante, par rapport aux infractions les plus importantes, ce malgré la souffrance supplémentaire que ses dénégations avaient occasionné à sa fille. La situation personnelle du recourant ne justifiait en rien ses agissements, alors même qu'il avait bénéficié à plusieurs reprises d'une prise en charge pour traiter son alcoolisme et repartir sur de bonnes bases, chances qu'il n'avait pas su saisir.</w:t>
      </w:r>
    </w:p>
    <w:p>
      <w:r>
        <w:t>La cour cantonale a considéré qu'aucune circonstance atténuante ( art. 48 CP ) n'était réalisée, ni même plaidée, et a tenu compte du concours d'infractions, toutes passibles d'une peine privative de liberté (hormis les contraventions).</w:t>
      </w:r>
    </w:p>
    <w:p>
      <w:r>
        <w:t>En définitive, la cour cantonale a arrêté une peine privative de liberté de 14 mois, complémentaire à celle de 30 jours prononcée le 15 juin 2012, pour les infractions à caractère sexuel, quand bien même la période pénale visée était plus courte que celle retenue en première instance. La peine privative de liberté a été aggravée de 4 mois (complémentaire à celle de 10 jours prononcée le 17 janvier 2019) pour les violations de l'interdiction de pénétrer dans une région déterminée ainsi que la conduite sans autorisation.</w:t>
      </w:r>
    </w:p>
    <w:p>
      <w:r>
        <w:t>Une amende a été prononcée pour les différentes contraventions, l'exemption de peine octroyée en lien avec l'art. 115 al. 1 let. b aLEtr lui étant acquise.</w:t>
      </w:r>
    </w:p>
    <w:p>
      <w:r>
        <w:rPr>
          <w:b/>
        </w:rPr>
        <w:t>E. 4.3</w:t>
      </w:r>
    </w:p>
    <w:p>
      <w:r>
        <w:t>C'est en vain que le recourant affirme n'avoir fait l'objet d'aucune autre plainte pour des infractions à l'intégrité sexuelle et ne pas avoir d'antécédent en la matière. Il est établi et incontesté que son casier judiciaire fait état de vingt condamnations, pour la plupart récentes. Si celles-ci n'ont pas trait à des infractions contre l'intégrité sexuelle, il n'en demeure pas moins que les antécédents, même non spécifiques, doivent être pris en compte dans la fixation de la peine ( art. 47 CP ; cf. arrêts 6B_690/2019 du 4 décembre 2019 consid. 1.4.2 non publié in ATF 146 IV 105 ; 6B_765/2008 du 7 avril 2009 consid. 2.1.1 s. non publié in ATF 135 IV 146 ; 6S.398/2006 du 2 novembre 2006 consid. 2.3). Aussi, en tant que la cour cantonale a tenu compte, parmi d'autres éléments pertinents, des nombreuses condamnations pénales récentes dont le recourant a fait l'objet, elle n'a pas violé le droit fédéral.</w:t>
      </w:r>
    </w:p>
    <w:p>
      <w:r>
        <w:t>Le recourant est malvenu de plaider, pour la première fois devant le Tribunal fédéral, la circonstance atténuante déduite de l' art. 48 let . e CP en lien avec les infractions à caractère sexuel commises en 2009. En tout état, cette circonstance n'est manifestement pas réalisée, du fait qu'il s'est rendu coupable de très nombreuses infractions depuis lors. Ainsi, le recourant ne saurait, de bonne foi, prétendre s'être bien comporté dans l'intervalle (cf. ATF 132 IV 1 consid. 6.3 p. 4 sur cette notion).</w:t>
      </w:r>
    </w:p>
    <w:p>
      <w:r>
        <w:t>Infondés, les griefs du recourant doivent être rejetés.</w:t>
      </w:r>
    </w:p>
    <w:p>
      <w:r>
        <w:rPr>
          <w:b/>
        </w:rPr>
        <w:t>E. 5</w:t>
      </w:r>
    </w:p>
    <w:p>
      <w:r>
        <w:t>Le recourant s'en prend au refus de lui accorder le sursis complet.</w:t>
      </w:r>
    </w:p>
    <w:p>
      <w:r>
        <w:rPr>
          <w:b/>
        </w:rPr>
        <w:t>E. 5.1</w:t>
      </w:r>
    </w:p>
    <w:p>
      <w:r>
        <w:t>Le juge suspend en règle générale l'exécution d'une peine privative de liberté de deux ans au plus lorsqu'une peine ferme ne paraît pas nécessaire pour détourner l'auteur d'autres crimes ou délits ( art. 42 al. 1 CP ). Il peut suspendre partiellement l'exécution d'une peine privative de liberté d'un an au moins et de trois ans au plus afin de tenir compte de façon appropriée de la faute de l'auteur ( art. 43 al. 1 CP ).</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et 5.3.1 p. 10; arrêt 6B_906/2019 du 7 mai 2020 consid. 2.1). Dans l'émission du pronostic, le juge dispose d'un large pouvoir d'appréciation, de sorte que le Tribunal fédéral n'intervient qu'en cas d'abus ou d'excès de ce pouvoir ( ATF 145 IV 137 consid. 2.2 p. 139).</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s.; 134 IV 1 consid. 5.3.1 p. 10).</w:t>
      </w:r>
    </w:p>
    <w:p>
      <w:r>
        <w:rPr>
          <w:b/>
        </w:rPr>
        <w:t>E. 5.2</w:t>
      </w:r>
    </w:p>
    <w:p>
      <w:r>
        <w:t>La cour cantonale a considéré que le pronostic était mitigé, dès lors qu'il était défavorable s'agissant des infractions à la législation sur les étrangers mais qu'il ne pouvait être qualifié comme tel s'agissant des infractions à caractère sexuel, en l'absence d'antécédents spécifiques, quand bien même le recourant n'avait fait preuve d'aucune ébauche d'amendement concernant les infractions les plus graves. A cela s'ajoutait la diversité des biens juridiques touchés. La cour cantonale a estimé qu'une peine totalement ferme n'apparaissait dès lors pas justifiée, pas plus que l'octroi d'un sursis complet. Aussi, elle a mis le recourant au bénéfice d'un sursis partiel, d'une durée de 9 mois, avec un délai d'épreuve de trois ans, apte à favoriser la prise de conscience encore attendue de lui et à le dissuader de la commission de nouvelles infractions.</w:t>
      </w:r>
    </w:p>
    <w:p>
      <w:r>
        <w:rPr>
          <w:b/>
        </w:rPr>
        <w:t>E. 5.3</w:t>
      </w:r>
    </w:p>
    <w:p>
      <w:r>
        <w:t>En tant que le recourant se contente d'affirmer qu'il n'a pas commis d'infraction à caractère sexuel avant ou après les faits reprochés, ce qui constituerait une</w:t>
      </w:r>
    </w:p>
    <w:p>
      <w:r>
        <w:t>"preuve par les faits que le pronostic ne peut qu'être favorable" , il ne développe aucune critique contre la motivation cantonale pertinente relative au pronostic ( art. 42 al. 2 LTF ). Son grief est irrecevable. Il en va de même de ses affirmations qui s'écartent de manière inadmissible des faits retenus par la cour cantonale, concernant sa situation personnelle actuelle et ses relations avec sa nouvelle famille (cf. art. 105 al. 1 LTF ).</w:t>
      </w:r>
    </w:p>
    <w:p>
      <w:r>
        <w:t>En tout état, en posant un pronostic mitigé fondé sur les circonstances des infractions, les antécédents, la situation personnelle du recourant et son état d'esprit au moment du jugement, la cour cantonale n'a pas abusé ni excédé de son large pouvoir d'appréciation en la matière.</w:t>
      </w:r>
    </w:p>
    <w:p>
      <w:r>
        <w:rPr>
          <w:b/>
        </w:rPr>
        <w:t>E. 6</w:t>
      </w:r>
    </w:p>
    <w:p>
      <w:r>
        <w:t>Le recourant ne formule aucune critique contre la motivation cantonale s'agissant des prétentions civiles accordées par les autorités précédentes.</w:t>
      </w:r>
    </w:p>
    <w:p>
      <w:r>
        <w:rPr>
          <w:b/>
        </w:rPr>
        <w:t>E. 7</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