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6B_219/2017 vom 5. April 2017</w:t>
      </w:r>
    </w:p>
    <w:p>
      <w:r>
        <w:t>Bundesgericht, 2017-04-05, FR</w:t>
      </w:r>
    </w:p>
    <w:p>
      <w:r>
        <w:rPr>
          <w:b/>
        </w:rPr>
        <w:t xml:space="preserve">Quelle: </w:t>
      </w:r>
      <w:r>
        <w:t>https://mcp.opencaselaw.ch/entscheid/bger_6B_219_2017</w:t>
      </w:r>
    </w:p>
    <w:p>
      <w:r>
        <w:t>FR: TF 6B_219/2017 du 5 avril 2017</w:t>
      </w:r>
    </w:p>
    <w:p>
      <w:r>
        <w:t>IT: TF 6B_219/2017 del 5 aprile 2017</w:t>
      </w:r>
    </w:p>
    <w:p>
      <w:pPr>
        <w:pStyle w:val="Heading2"/>
      </w:pPr>
      <w:r>
        <w:t>Erwägungen</w:t>
      </w:r>
    </w:p>
    <w:p>
      <w:r>
        <w:rPr>
          <w:b/>
        </w:rPr>
        <w:t>E. 1</w:t>
      </w:r>
    </w:p>
    <w:p>
      <w:r>
        <w:t>Le recourant se plaint d'une violation du droit fédéral dans l'application des art. 95 al. 3 et 5 CP . Il relève que la décision entreprise ne repose sur aucun élément concret que l'autorité aurait ignoré au moment du prononcé de la libération conditionnelle qui puisse permettre de considérer que la règle de conduite n'est plus en mesure d'être exécutée. Le rapport du 3 octobre 2016, qui relève l'absence de toute violation de sa part des règles de conduite, n'est pas apte à remettre en question le bien-fondé de la décision du 6 juin 2016.</w:t>
      </w:r>
    </w:p>
    <w:p>
      <w:r>
        <w:rPr>
          <w:b/>
        </w:rPr>
        <w:t>E. 1.1</w:t>
      </w:r>
    </w:p>
    <w:p>
      <w:r>
        <w:t>Aux termes de l' art. 95 al. 3 CP , si le condamné, libéré conditionnellement,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ces cas, le juge ou l'autorité d'exécution peut prolonger le délai d'épreuve jusqu'à concurrence de la moitié de sa durée, lever l'assistance de probation ou en ordonner une nouvelle ou modifier les règles de conduite, les révoquer ou en imposer de nouvelles ( art. 95 al. 4 CP ). Il peut aussi révoquer le sursis ou ordonner la réintégration dans l'exécution de la peine ou de la mesure s'il est sérieusement à craindre que le condamné ne commette de nouvelles infractions ( art. 95 al. 5 CP ).</w:t>
      </w:r>
    </w:p>
    <w:p>
      <w:r>
        <w:t>La jurisprudence a qualifié l'assistance de probation et les règles de conduite comme des mesures d'accompagnement qui tendent non seulement à permettre la réinsertion du condamné, mais qui visent aussi à réduire le danger de récidive pendant la période d'épreuve, objectif qui ressort expressément de l' art. 93 al. 1 CP . Sous cet angle, l'assistance de probation et les règles de conduite impliquent donc de tenir compte de la sécurité publique, qui a déjà été lésée par l'infraction ayant donné lieu à la privation de liberté, objet de la libération conditionnelle. Il en résulte que l'exécutabilité de l'assistance de probation ou de règles de conduite, en tant que mesure d'accompagnement de la décision de libération conditionnelle, ne doit pas être examinée uniquement sous l'angle du respect par le condamné des modalités de la mesure en question, mais aussi en tenant compte du but de sécurité publique poursuivi. Si la mesure ne peut plus atteindre cet objectif, elle doit être considérée comme n'étant plus exécutable au sens de l' art. 95 al. 3 CP . En pareil cas, l'autorité a alors la possibilité de réaménager la mesure selon l' art. 95 al. 4 CP ou de prononcer la réintégration au sens de l' art. 95 al. 5 CP ( ATF 138 IV 65 consid. 4.3.2 p. 68 s.).</w:t>
      </w:r>
    </w:p>
    <w:p>
      <w:r>
        <w:rPr>
          <w:b/>
        </w:rPr>
        <w:t>E. 1.2.1</w:t>
      </w:r>
    </w:p>
    <w:p>
      <w:r>
        <w:t>Le recourant a bénéficié d'une libération conditionnelle de la mesure thérapeutique institutionnelle assortie de règles de conduite dont l'obligation de continuer à résider en appartement protégé pour une durée de six mois. L'autorité cantonale n'a pas fondé sa décision sur la violation ou la soustraction du recourant aux règles de conduite, mais a examiné l'adéquation de la règle de conduite au but de sécurité publique qui lui est assigné, à savoir la prévention du risque de récidive, comme la loi l'autorise selon la jurisprudence citée. Le recourant ne saurait ainsi rien tirer en sa faveur de l'absence de violation de sa part des règles de conduite pour considérer que l'autorité cantonale n'était pas fondée à en prolonger sa durée.</w:t>
      </w:r>
    </w:p>
    <w:p>
      <w:r>
        <w:rPr>
          <w:b/>
        </w:rPr>
        <w:t>E. 1.2.2</w:t>
      </w:r>
    </w:p>
    <w:p>
      <w:r>
        <w:t>Le recourant souligne qu'il a toujours scrupuleusement respecté les règles de conduite, de sorte que le pronostic favorable posé au moment de la libération conditionnelle ne saurait être remis en question, faute d'élément nouveau. Sa critique, qui se confond avec la précédente, est sans portée. L'obligation de résidence en appartement protégé a pour but d'assurer la prise en charge thérapeutique du recourant afin de réduire le risque de récidive. Le pronostic favorable posé au moment de la libération conditionnelle de la mesure thérapeutique institutionnelle prenait donc en compte un risque de récidive contenu par les règles de conduite assortissant la libération conditionnelle. L'examen de l'adéquation des règles de conduite et de leur efficacité préventive suppose un examen de l'évolution de l'état du recourant depuis leur mise en oeuvre. Le respect des règles de conduite invoquées par le recourant n'exclut pas cet examen.</w:t>
      </w:r>
    </w:p>
    <w:p>
      <w:r>
        <w:rPr>
          <w:b/>
        </w:rPr>
        <w:t>E. 1.2.3</w:t>
      </w:r>
    </w:p>
    <w:p>
      <w:r>
        <w:t>Sur la base des avis exprimés par les intervenants, l'autorité cantonale a constaté que le risque de récidive demeurait réel si le recourant ne vivait plus en appartement protégé, en raison de ses capacités limitées à apprendre et à mettre en oeuvre hors milieu protégé des mesures préventives. En affirmant que son évolution est favorable et qu'il a compris l'importance de se soumettre à un traitement médical, le recourant ne fait qu'opposer sa propre appréciation de son état sans établir en quoi celle retenue par l'autorité cantonale, en particulier fondée sur le rapport médical du 3 octobre 2016, serait arbitraire. Il est rappelé que le Tribunal fédéral est lié par les constatations de fait établies par l'autorité précédente ( art. 105 al. 1 LTF ), à moins que celles-ci ne soient manifestement inexactes ( art. 97 al. 1 LTF ), c'est-à-dire arbitraires ( ATF 141 IV 336 consid. 2.3.2 p. 341). Il n'est pas une autorité d'appel, auprès de laquelle les faits pourraient être rediscutés librement.</w:t>
      </w:r>
    </w:p>
    <w:p>
      <w:r>
        <w:rPr>
          <w:b/>
        </w:rPr>
        <w:t>E. 1.3</w:t>
      </w:r>
    </w:p>
    <w:p>
      <w:r>
        <w:t>En conséquence, au vu de la faible évolution du recourant dans son aptitude à prévenir une rechute, l'autorité cantonale pouvait retenir que la durée limitée de six mois assortissant l'obligation de résider en appartement protégé ne permettait pas d'atteindre le but pour lequel elle a été instaurée, soit éviter ou à tout le moins limiter le risque de récidive. Elle était ainsi fondée à considérer, sans violation du droit fédéral, qu'un réaménagement de la règle de conduite dans le sens d'une prolongation de sa durée était apte et nécessaire à prévenir le risque de récidive.</w:t>
      </w:r>
    </w:p>
    <w:p>
      <w:r>
        <w:rPr>
          <w:b/>
        </w:rPr>
        <w:t>E. 2</w:t>
      </w:r>
    </w:p>
    <w:p>
      <w:r>
        <w:t>Le recours doit être rejeté dans la mesure où il est recevable. Les conclusions sont manifestement dénuées de chance de succès. La demande d'assistance judiciaire est rejetée ( art. 64 al. 1 LTF a contrario). Le recourant supportera les frais de justice dont la quotité tiendra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