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217/2014 vom 28. August 2014</w:t>
      </w:r>
    </w:p>
    <w:p>
      <w:r>
        <w:t>Bundesgericht, 2014-08-28, FR</w:t>
      </w:r>
    </w:p>
    <w:p>
      <w:r>
        <w:rPr>
          <w:b/>
        </w:rPr>
        <w:t xml:space="preserve">Quelle: </w:t>
      </w:r>
      <w:r>
        <w:t>https://mcp.opencaselaw.ch/entscheid/bger_6B_217_2014</w:t>
      </w:r>
    </w:p>
    <w:p>
      <w:r>
        <w:t>FR: TF 6B 217/2014 du 28 août 2014</w:t>
      </w:r>
    </w:p>
    <w:p>
      <w:r>
        <w:t>IT: TF 6B 217/2014 del 28 agosto 2014</w:t>
      </w:r>
    </w:p>
    <w:p>
      <w:pPr>
        <w:pStyle w:val="Heading2"/>
      </w:pPr>
      <w:r>
        <w:t>Regeste</w:t>
      </w:r>
    </w:p>
    <w:p>
      <w:r>
        <w:t>Brigandage; coactivité; fixation de la peine | Infractions</w:t>
      </w:r>
    </w:p>
    <w:p>
      <w:pPr>
        <w:pStyle w:val="Heading2"/>
      </w:pPr>
      <w:r>
        <w:t>Erwägungen</w:t>
      </w:r>
    </w:p>
    <w:p>
      <w:r>
        <w:rPr>
          <w:b/>
        </w:rPr>
        <w:t>E. 1</w:t>
      </w:r>
    </w:p>
    <w:p>
      <w:r>
        <w:t>Le recourant allègue avoir joué un rôle secondaire dans le brigandage de la banque B.________ et estime qu'il n'est qu'un complice, de sorte que sa peine doit être atténuée en vertu de l' art. 25 CP .</w:t>
      </w:r>
    </w:p>
    <w:p>
      <w:r>
        <w:rPr>
          <w:b/>
        </w:rPr>
        <w:t>E. 1.1</w:t>
      </w:r>
    </w:p>
    <w:p>
      <w:r>
        <w:t>Par opposition au complice, qui prête intentionnellement assistance à l'auteur pour commettre un crime ou un délit par une participation accessoire,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130 IV 58 consid. 9.2.1 p. 66; 125 IV 134 consid. 3a). Le complice est un participant secondaire qui prête assistance pour commettre un crime ou un délit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 ATF 132 IV 49 consid. 1.1 p. 51 s.).</w:t>
      </w:r>
    </w:p>
    <w:p>
      <w:r>
        <w:rPr>
          <w:b/>
        </w:rPr>
        <w:t>E. 1.2</w:t>
      </w:r>
    </w:p>
    <w:p>
      <w:r>
        <w:t>La cour cantonale a retenu en premier lieu que les deux comparses du recourant l'avaient clairement mis en cause dans le braquage de la banque en déclarant notamment qu'ils avaient discuté les trois ensemble du projet, et qu'il avait refusé d'entrer dans l'établissement en raison du fait que tout le monde le connaissait à D.________ et qu'il ne voulait pas prendre le risque de se faire reconnaître. Par ailleurs, le recourant avait servi d'interprète entre ses deux comparses, de sorte qu'il était au courant de la préparation du brigandage et avait décidé d'y participer. Avec Z.________, il s'était procuré le véhicule ayant servi à quitter le lieux, il s'était également personnellement chargé de trouver un garage pour dissimuler le scooter, garage dont il possédait la clé lors de son interpellation. En outre, les traces ADN du recourant avaient été retrouvées sur le volant, le levier de vitesse et le frein à main de la voiture et sur le scooter utilisés pour quitter l'établissement, ainsi que sur l'une des cagoules retrouvées dans le véhicule. Enfin, le recourant avait reçu une part du butin. Au vu de ces éléments, la cour d'appel a retenu que le recourant avait collaboré intentionnellement à la commission du braquage de la banque. Son rôle déterminant le faisait apparaître comme un participant principal.</w:t>
      </w:r>
    </w:p>
    <w:p>
      <w:r>
        <w:rPr>
          <w:b/>
        </w:rPr>
        <w:t>E. 1.3</w:t>
      </w:r>
    </w:p>
    <w:p>
      <w:r>
        <w:t>Le recourant se borne à répéter qu'il n'a pas pénétré dans la banque B.________, qu'il s'est cantonné à un rôle de chauffeur et s'est abstenu de faire le guet ou d'user de menace ou de violence. Or la cour a mis cela sur le compte de sa seule crainte d'être reconnu, ce que le recourant ne conteste pas, et a fondé sa coactivité sur de nombreux autres éléments. En tant qu'il prétend n'avoir reçu qu'une part minime du butin (soit 600 fr. sur les 36'000 fr. dérobés), il se contente d'une simple affirmation, qui ne ressort pas de la décision entreprise ( art. 105 al. 1 LTF ), laquelle précise simplement que la somme de 600 fr. a été retrouvée sur le recourant au moment de son interpellation. Cela ne signifie pas pour autant que cette somme correspondait à sa part du butin qui n'a au demeurant pas pu être récupéré. Au vu de l'état de fait cantonal, dont il n'est pas prétendu qu'il aurait été établi arbitrairement (cf. art. 106 al. 2 LTF ), force est de constater que le recourant apparaît comme l'un des participants principaux à l'infraction litigieuse. Outre sa participation à la mise au point du scenario, ses prestations d'interprète, la mise à disposition des véhicules impliqués dans le braquage et ses intérêts financiers en découlant, le recourant a activement participé aux faits en attendant ses comparses à un lieu précis, prédéterminé, au volant d'un véhicule, leur permettant de fuir les lieux immédiatement. Il avait dès lors une certaine maîtrise des opérations et investissait un rôle important dans l'accomplissement du second brigandage. Ce faisant, il ne s'est pas borné à favoriser la commission du braquage de la banque mais y a apporté une contribution essentielle, sur la base d'une décision commune des trois protagonistes et avec une intention directe portant sur le résultat délictueux. Partant, la cour cantonale n'a pas violé le droit fédéral en retenant que le recourant avait agi comme un coauteur, et non comme un simple complice. Le grief de violation de l' art. 25 CP doit être rejeté.</w:t>
      </w:r>
    </w:p>
    <w:p>
      <w:r>
        <w:rPr>
          <w:b/>
        </w:rPr>
        <w:t>E. 2</w:t>
      </w:r>
    </w:p>
    <w:p>
      <w:r>
        <w:t>Le recourant fait valoir une inégalité de traitement à l'égard de Y.________, également condamné à une peine privative de liberté de 60 mois, alors que ce dernier avait, contrairement à lui, pénétré dans la banque B.________.</w:t>
      </w:r>
    </w:p>
    <w:p>
      <w:r>
        <w:rPr>
          <w:b/>
        </w:rPr>
        <w:t>E. 2.1</w:t>
      </w:r>
    </w:p>
    <w:p>
      <w:r>
        <w:t>Dans l'exercice du pouvoir d'appréciation que lui confère l' art. 47 CP , le juge doit, notamment, respecter le principe d'égalité de traitement ( art. 8 al. 1 Cst ; ATF 120 IV 136 consid. 3a p. 144 et les arrêts cités).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(cf. ATF 135 IV 191 consid. 3.2 p. 193 ss; 121 IV 202 consid. 2d p. 204 ss). Lorsque des coauteurs jugés dans une seule procédure sont condamnés à des peines différentes, il y a violation du principe d'égalité de traitement uniquement si le juge omet d'établir une juste proportion entre les deux peines ( ATF 135 IV 191 consid. 3.2 p. 194).</w:t>
      </w:r>
    </w:p>
    <w:p>
      <w:r>
        <w:rPr>
          <w:b/>
        </w:rPr>
        <w:t>E. 2.2</w:t>
      </w:r>
    </w:p>
    <w:p>
      <w:r>
        <w:t>En l'occurrence, tant la culpabilité de Y.________, que celle du recourant ont été jugées très lourdes par la cour cantonale. Outre les infractions de vol d'usage, de conduite d'un véhicule sous retrait, usage abusif de plaques et infraction à la loi fédérale sur les armes, les deux coprévenus se sont rendus coupables de deux brigandages en l'espace de quatre mois, à l'occasion desquels des employés ont été menacés par une arme. La cour cantonale a pris en considération l'absence de prise de conscience et de regrets, ainsi que leur refus de dédommager les lésés. Tous deux apparaissaient comme des délinquants endurcis et dangereux aux yeux de la cour d'appel, qui a également tenu compte des concours d'infractions et de leurs antécédents respectifs pour fixer la peine. A décharge, la cour cantonale a tenu compte des aveux de Y.________, bien que tardifs. Le recourant avait quant à lui fait preuve d'un défaut de collaboration durant la procédure.</w:t>
      </w:r>
    </w:p>
    <w:p>
      <w:r>
        <w:rPr>
          <w:b/>
        </w:rPr>
        <w:t>E. 2.3</w:t>
      </w:r>
    </w:p>
    <w:p>
      <w:r>
        <w:t>Le recourant ne saurait prétendre à une réduction de sa peine du fait qu'il n'a pas personnellement pénétré dans le second établissement, dans la mesure où c'est sa crainte d'être reconnu qui l'y a fait renoncer. En tout état il s'est pleinement associé à ce braquage. Pour autant que sa part d'activité dans le second brigandage puisse avoir un impact sur la culpabilité du recourant, il serait en tout état compensé par son absence de collaboration durant la procédure, élément en sa défaveur, qui ne concerne pas son comparse (cf. ATF 121 IV 202 consid. 2d p. 204 ss, s'agissant notamment du poids des aveux et de la collaboration dans la mesure de la peine). Il s'agit là d'un élément ayant eu un impact positif sur la sanction du comparse mettant les peines dans un juste rapport de proportion. Aussi, la fixation de peines identiques pour les coauteurs ne viole pas, en l'espèce, le principe de l'égalité de traitement. Le recourant ne prétend par ailleurs pas qu'un critère en sa faveur aurait été omis dans la fixation de la peine. Le grief soulevé doit être rejeté.</w:t>
      </w:r>
    </w:p>
    <w:p>
      <w:r>
        <w:rPr>
          <w:b/>
        </w:rPr>
        <w:t>E. 3</w:t>
      </w:r>
    </w:p>
    <w:p>
      <w:r>
        <w:t>Le recours doit être rejeté.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