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6B_214/2022 vom 3. März 2022</w:t>
      </w:r>
    </w:p>
    <w:p>
      <w:r>
        <w:t>Bundesgericht, 2022-03-03, DE</w:t>
      </w:r>
    </w:p>
    <w:p>
      <w:r>
        <w:rPr>
          <w:b/>
        </w:rPr>
        <w:t xml:space="preserve">Quelle: </w:t>
      </w:r>
      <w:r>
        <w:t>https://mcp.opencaselaw.ch/entscheid/bger_6B_214_2022</w:t>
      </w:r>
    </w:p>
    <w:p>
      <w:r>
        <w:t>FR: TF 6B_214/2022 du 3 mars 2022</w:t>
      </w:r>
    </w:p>
    <w:p>
      <w:r>
        <w:t>IT: TF 6B_214/2022 del 3 marzo 2022</w:t>
      </w:r>
    </w:p>
    <w:p>
      <w:pPr>
        <w:pStyle w:val="Heading2"/>
      </w:pPr>
      <w:r>
        <w:t>Erwägungen</w:t>
      </w:r>
    </w:p>
    <w:p>
      <w:r>
        <w:rPr>
          <w:b/>
        </w:rPr>
        <w:t>E. 1</w:t>
      </w:r>
    </w:p>
    <w:p>
      <w:r>
        <w:t>Die Staatsanwaltschaft Zürich-Sihl nahm eine Strafuntersuchung gegen eine unbekannte Täterschaft wegen falscher Anschuldigung am 30. Juli 2021 nicht an die Hand. Auf eine dagegen gerichtete Beschwerde trat das Obergericht des Kantons Zürich mit Beschluss vom 4. Januar 2022 nicht ein. Der Beschwerdeführer wendet sich an das Bundesgericht.</w:t>
      </w:r>
    </w:p>
    <w:p>
      <w:r>
        <w:rPr>
          <w:b/>
        </w:rPr>
        <w:t>E. 2</w:t>
      </w:r>
    </w:p>
    <w:p>
      <w:r>
        <w:t>Nach Art. 42 Abs. 2 BGG ist in der Begründung einer Beschwerde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t>Gemäss Art. 383 Abs.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3</w:t>
      </w:r>
    </w:p>
    <w:p>
      <w:r>
        <w:t>Streitgegenstand ist ausschliesslich der Nichteintretensbeschluss ( Art. 80 Abs. 1 StPO ). Vor Bundesgericht kann es daher nur um die Frage gehen, ob die Vorinstanz die Behandlung der kantonalen Beschwerde von der Bezahlung einer Sicherheitsleistung abhängig machen und auf die Beschwerde mangels Leistung der verlangten Sicherheit für allfällige Prozesskosten nicht eintreten durfte. Damit befasst sich der Beschwerdeführer in seiner Beschwerde an das Bundesgericht nicht. Inwiefern die Vorinstanz Art. 383 StPO , Art. 136 StPO oder eine andere Gesetzesnorm verletzt haben könnte, sagt er nicht. Aus der Beschwerde ergibt sich mithin nicht, inwiefern der vorinstanzliche Nichteintretensbeschluss verfassungs- bzw. rechtswidrig sein könnte. Soweit der Beschwerdeführer sinngemäss den vorinstanzlichen Kostenspruch anficht, zeigt er ebenfalls nicht auf, inwiefern die Vorinstanz Art. 428 StPO unrichtig angewendet haben könnte. Sollte er mit seiner Eingabe einen Kostenerlass verlangen wollen (was vom Wortlaut her nicht gänzlich ausgeschlossen erscheint), hätte hierüber erstinstanzlich nicht das Bundesgericht zu entscheiden (vgl. Art. 425 StPO ; Art. 80 Abs. 1 und 90 BGG ). Die Beschwerde genügt den Begründungsanforderungen nicht ( Art. 42 Abs. 2 BGG ). Der Begründungsmangel ist offensichtlich. Auf die Beschwerde ist folglich im Verfahren nach Art. 108 BGG nicht einzutreten.</w:t>
      </w:r>
    </w:p>
    <w:p>
      <w:r>
        <w:rPr>
          <w:b/>
        </w:rPr>
        <w:t>E. 4</w:t>
      </w:r>
    </w:p>
    <w:p>
      <w:r>
        <w:t>Auf eine Kostenauflage kann ausnahmsweise verzichtet werden ( Art. 66 Abs. 1 BGG ). Ein allfälliges Gesuch um unentgeltliche Rechtspflege würde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