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214/2017 vom 24. Februar 2017</w:t>
      </w:r>
    </w:p>
    <w:p>
      <w:r>
        <w:t>Bundesgericht, 2017-02-24, FR</w:t>
      </w:r>
    </w:p>
    <w:p>
      <w:r>
        <w:rPr>
          <w:b/>
        </w:rPr>
        <w:t xml:space="preserve">Quelle: </w:t>
      </w:r>
      <w:r>
        <w:t>https://mcp.opencaselaw.ch/entscheid/bger_6B_214_2017</w:t>
      </w:r>
    </w:p>
    <w:p>
      <w:r>
        <w:t>FR: TF 6B 214/2017 du 24 février 2017</w:t>
      </w:r>
    </w:p>
    <w:p>
      <w:r>
        <w:t>IT: TF 6B 214/2017 del 24 febbraio 2017</w:t>
      </w:r>
    </w:p>
    <w:p>
      <w:pPr>
        <w:pStyle w:val="Heading2"/>
      </w:pPr>
      <w:r>
        <w:t>Regeste</w:t>
      </w:r>
    </w:p>
    <w:p>
      <w:r>
        <w:t>Ordonnance de non-entrée en matière (lésions corporelles graves, tentative d'homicide, faux dans les titres et escroquerie), qualité pour recourir au Tribunal fédéral | Procédure pénale</w:t>
      </w:r>
    </w:p>
    <w:p>
      <w:pPr>
        <w:pStyle w:val="Heading2"/>
      </w:pPr>
      <w:r>
        <w:t>Erwägungen</w:t>
      </w:r>
    </w:p>
    <w:p>
      <w:r>
        <w:rPr>
          <w:b/>
        </w:rPr>
        <w:t>E. 1</w:t>
      </w:r>
    </w:p>
    <w:p>
      <w:r>
        <w:t>Par arrêt du 12 janvier 2017, la Chambre pénale de recours de la Cour de justice de la République et canton de Genève a rejeté le recours de X.________ contre l'ordonnance de non-entrée en matière rendue le 3 mai 2016 sur la plainte pour lésions corporelles graves, tentative d'homicide, faux dans les titres et escroquerie qu'il a déposée contre son médecin traitant A.________, lui reprochant de ne pas lui avoir communiqué, dès 2008, que ses résultats sanguins annuels révélaient un excès de cholestérol total et de ne pas avoir adapté son traitement en conséquence. A.________ l'avait ainsi exposé durant plusieurs années à un risque accru de développer une maladie cardio-vasculaire, lequel s'était finalement concrétisé en septembre 2014 par le diagnostic d'une athérosclérose coronarienne extensive.</w:t>
      </w:r>
    </w:p>
    <w:p>
      <w:r>
        <w:rPr>
          <w:b/>
        </w:rPr>
        <w:t>E. 2</w:t>
      </w:r>
    </w:p>
    <w:p>
      <w:r>
        <w:t>X.________ interjette un recours en matière pénale et un recours constitutionnel subsidiaire au Tribunal fédéral contre l'arrêt cantonal dont il réclame l'annulation. Dans ce cadre, il sollicite l'octroi de l'effet suspensif au présent recours.</w:t>
      </w:r>
    </w:p>
    <w:p>
      <w:r>
        <w:rPr>
          <w:b/>
        </w:rPr>
        <w:t>E. 2.1</w:t>
      </w:r>
    </w:p>
    <w:p>
      <w:r>
        <w:t>L'arrêt attaqué a été rendu en dernière instance cantonale dans une cause de droit pénal. Il peut donc faire l'objet d'un recours en matière pénale au sens des art. 78 ss LTF , de sorte que le recours constitutionnel subsidiaire est exclu ( art. 113 LTF ). Les griefs invoqués seront traités dans le cadre du recours en matière pénale.</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L'absence d'explication sur la question des prétentions civiles exclut sa qualité pour recourir sur le fond de la cause.</w:t>
      </w:r>
    </w:p>
    <w:p>
      <w:r>
        <w:rPr>
          <w:b/>
        </w:rPr>
        <w:t>E. 2.3</w:t>
      </w:r>
    </w:p>
    <w:p>
      <w:r>
        <w:t>L'hypothèse visée à l'art. 81 al. 1 let. b ch. 6 LTF n'entre pas en considération, le recourant ne soulevant aucun grief recevable quant à son droit de porter plainte.</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 le recourant ne se prévalant aucunement d'un de ses droits de partie en reprochant à la cour cantonale d'avoir communiqué son arrêt à A.________. Au demeurant, le recourant, qui se plaint de la violation de l' art. 7 CPP , invoque un grief irrecevable à défaut d'être séparé du fond.</w:t>
      </w:r>
    </w:p>
    <w:p>
      <w:r>
        <w:rPr>
          <w:b/>
        </w:rPr>
        <w:t>E. 2.5</w:t>
      </w:r>
    </w:p>
    <w:p>
      <w:r>
        <w:t>Sur le vu de ce qui précède, le recours doit être déclaré irrecevable selon la procédure simplifiée prévue par l' art. 108 al. 1 let. a et b LTF .</w:t>
      </w:r>
    </w:p>
    <w:p>
      <w:r>
        <w:rPr>
          <w:b/>
        </w:rPr>
        <w:t>E. 3</w:t>
      </w:r>
    </w:p>
    <w:p>
      <w:r>
        <w:t>Vu l'issue du recours, la requête d'effet suspensif devient sans objet.</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