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6B_214/2016 vom 27. Mai 2016</w:t>
      </w:r>
    </w:p>
    <w:p>
      <w:r>
        <w:t>Bundesgericht, 2016-05-27, DE</w:t>
      </w:r>
    </w:p>
    <w:p>
      <w:r>
        <w:rPr>
          <w:b/>
        </w:rPr>
        <w:t xml:space="preserve">Quelle: </w:t>
      </w:r>
      <w:r>
        <w:t>https://mcp.opencaselaw.ch/entscheid/bger_6B_214_2016</w:t>
      </w:r>
    </w:p>
    <w:p>
      <w:r>
        <w:t>FR: TF 6B_214/2016 du 27 mai 2016</w:t>
      </w:r>
    </w:p>
    <w:p>
      <w:r>
        <w:t>IT: TF 6B_214/2016 del 27 maggio 2016</w:t>
      </w:r>
    </w:p>
    <w:p>
      <w:pPr>
        <w:pStyle w:val="Heading2"/>
      </w:pPr>
      <w:r>
        <w:t>Erwägungen</w:t>
      </w:r>
    </w:p>
    <w:p>
      <w:r>
        <w:rPr>
          <w:b/>
        </w:rPr>
        <w:t>E. 1</w:t>
      </w:r>
    </w:p>
    <w:p>
      <w:r>
        <w:t>Nachdem die Staatsanwaltschaft des Kantons Zürich eine vom Beschwerdeführer beantragte Untersuchung nicht an die Hand genommen hatte, wies das Obergericht des Kantons Zürich eine dagegen gerichtete Beschwerde am 22. März 2016 ab. Die kantonalen Behörden kamen zum Schluss, den Eingaben des Beschwerdeführers sei nicht zu entnehmen, wer sich inwieweit strafbar gemacht haben könnte. Der Beschwerdeführer wendet sich ans Bundesgericht. Indessen ist auch dieser weitgehend unverständlichen Eingabe kein strafbares Verhalten einer Person zu entnehmen. Auf die Beschwerde ist mangels einer nachvollziehbaren Begründung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