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212/2012 vom 14. Februar 2013</w:t>
      </w:r>
    </w:p>
    <w:p>
      <w:r>
        <w:t>Bundesgericht, 2013-02-14, DE</w:t>
      </w:r>
    </w:p>
    <w:p>
      <w:r>
        <w:rPr>
          <w:b/>
        </w:rPr>
        <w:t xml:space="preserve">Quelle: </w:t>
      </w:r>
      <w:r>
        <w:t>https://mcp.opencaselaw.ch/entscheid/bger_6B_212_2012</w:t>
      </w:r>
    </w:p>
    <w:p>
      <w:r>
        <w:t>FR: TF 6B 212/2012 du 14 février 2013</w:t>
      </w:r>
    </w:p>
    <w:p>
      <w:r>
        <w:t>IT: TF 6B 212/2012 del 14 febbraio 2013</w:t>
      </w:r>
    </w:p>
    <w:p>
      <w:pPr>
        <w:pStyle w:val="Heading2"/>
      </w:pPr>
      <w:r>
        <w:t>Regeste</w:t>
      </w:r>
    </w:p>
    <w:p>
      <w:r>
        <w:t>Mehrfache Übertretung des Heilmittelgesetzes | Straftaten</w:t>
      </w:r>
    </w:p>
    <w:p>
      <w:pPr>
        <w:pStyle w:val="Heading2"/>
      </w:pPr>
      <w:r>
        <w:t>Erwägungen</w:t>
      </w:r>
    </w:p>
    <w:p>
      <w:r>
        <w:rPr>
          <w:b/>
        </w:rPr>
        <w:t>E. 1</w:t>
      </w:r>
    </w:p>
    <w:p>
      <w:r>
        <w:t>Der Beschwerdegegner bringt vor, gemäss eindeutigem Gesetzeswortlaut ( Art. 15 Abs. 1 lit. c StBOG ; SR 173.71) wäre nur der Bundesanwalt oder die Bundesanwältin sachlich legitimiert gewesen, Beschwerde zu führen, nicht jedoch "lediglich" ein juristischer Mitarbeiter. Gestützt auf Art. 9 Abs. 3 StBOG hat der Bundesanwalt das Reglement über die Organisation und Verwaltung der Bundesanwaltschaft vom 22. November 2010 (SR 173.712.22) erlassen. Dessen Art. 5 Abs. 6 bestimmt, dass der Rechtsdienst Rechtsmittel gemäss Art. 381 Abs. 4 lit. a StPO ergreifen kann. Da in einem Rechtsdienst juristische Mitarbeiter die fachlichen Aufgaben zu erledigen haben, kommt ihnen Vertretungsbefugnis zu. Auf die Beschwerde des juristischen Mitarbeiters ist somit einzutreten.</w:t>
      </w:r>
    </w:p>
    <w:p>
      <w:r>
        <w:rPr>
          <w:b/>
        </w:rPr>
        <w:t>E. 2</w:t>
      </w:r>
    </w:p>
    <w:p>
      <w:r>
        <w:t>Die Vorinstanz erwägt, am 2. Juli 2008 sei ein Präparat mit "GC" als Nahrungsergänzungsmittel vom Bundesamt für Gesundheit bewilligt worden. Da "GC" somit nicht mehr unter die Arzneimittel falle, sei der Beschwerdegegner in Anwendung des milderen Rechts (Art. 2 Abs. 2 i.V.m. Art. 333 Abs. 1 StGB ) freizusprechen. Die lex mitior ( Art. 2 Abs. 2 StGB ) ist auch auf Übertretungen anwendbar ( Art. 104 StGB ). Bei Verwaltungsstrafnormen gilt der Grundsatz aber nicht allgemein. Nach der bundesgerichtlichen Rechtsprechung greift der Grundsatz, wenn in der neuen Regelung eine mildere ethische Wertung zum Ausdruck kommt, nicht jedoch bei Änderungen aus Gründen der Zweckmässigkeit ( BGE 123 IV 84 E. 3; 116 IV 258 E. 3; 89 IV 113 E. I/1). Diese Rechtsprechung wird, insbesondere wenn Verhaltensnormen einen Blankettstraftatbestand ausfüllen, kritisiert (POPP/LEVANTE, in: Basler Kommentar, Strafgesetzbuch I, 2. Auflage, Art. 2 N 9 ; ZR 102/2003 Nr. 64 S. 289 ff., je mit Hinweisen). Die Zulassung von Präparaten wie "GC" ist ein generell-konkreter Hoheitsakt. Da solche hinsichtlich der lex mitior selbst von Kritikern der bundesgerichtlichen Rechtsprechung als Grenzfall betrachtet werden (POPP/LEVANTE, a.a.O.), ist die bisherige Rechtsprechung jedenfalls in Bezug auf generell-konkrete Hoheitsakte nicht in Frage zu stellen (vgl. auch Urteil 6B_979/2009 vom 21. Oktober 2010, insbesondere E. 4.5.3). Damit verletzt der vorinstanzliche Entscheid Bundesrecht.</w:t>
      </w:r>
    </w:p>
    <w:p>
      <w:r>
        <w:rPr>
          <w:b/>
        </w:rPr>
        <w:t>E. 3</w:t>
      </w:r>
    </w:p>
    <w:p>
      <w:r>
        <w:t>Der angefochtene Entscheid ist aufzuheben und die Sache zur neuen Beurteilung an die Vorinstanz zurückzuweisen. Der mitunterliegende Beschwerdegegner hat die Hälfte der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