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6B_211/2019 vom 19. März 2019</w:t>
      </w:r>
    </w:p>
    <w:p>
      <w:r>
        <w:t>Bundesgericht, 2019-03-19, FR</w:t>
      </w:r>
    </w:p>
    <w:p>
      <w:r>
        <w:rPr>
          <w:b/>
        </w:rPr>
        <w:t xml:space="preserve">Quelle: </w:t>
      </w:r>
      <w:r>
        <w:t>https://mcp.opencaselaw.ch/entscheid/bger_6B_211_2019</w:t>
      </w:r>
    </w:p>
    <w:p>
      <w:r>
        <w:t>FR: TF 6B_211/2019 du 19 mars 2019</w:t>
      </w:r>
    </w:p>
    <w:p>
      <w:r>
        <w:t>IT: TF 6B_211/2019 del 19 marzo 2019</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6B_1244/2018 du 7 janvier 2019 consid. 1.1; 6B_1021/2018 du 19 décembre 2018 consid. 1.1; 6B_875/2018 du 15 novembre 2018 consid. 1 et les références citées).</w:t>
      </w:r>
    </w:p>
    <w:p>
      <w:r>
        <w:rPr>
          <w:b/>
        </w:rPr>
        <w:t>E. 1.2</w:t>
      </w:r>
    </w:p>
    <w:p>
      <w:r>
        <w:t>En l'occurrence, la recourante prétend avoir un intérêt à l'annulation de la décision attaquée, en ce sens qu'elle pourra se constituer partie civile et demander un dédommagement aux auteurs des infractions dont elle a été victime. Elle n'avance toutefois aucune conclusion chiffrée, ne fait valoir aucun tort moral, ni ne tente de justifier un quelconque préjudice. Elle ne tente pas de démontrer l'existence de souffrances liées aux faits qu'elle dénonce. Par ailleurs, on ne saurait déduire de prétentions civiles directement et sans ambiguïté de l'infraction que la recourante a décrite dans sa plainte.</w:t>
      </w:r>
    </w:p>
    <w:p>
      <w:r>
        <w:t>Faute de toute explication quant à l'existence de prétentions civiles, la qualité pour recourir de la recourante doit être exclue.</w:t>
      </w:r>
    </w:p>
    <w:p>
      <w:r>
        <w:rPr>
          <w:b/>
        </w:rPr>
        <w:t>E. 1.3</w:t>
      </w:r>
    </w:p>
    <w:p>
      <w:r>
        <w:t>L'hypothèse visée à l'art. 81 al. 1 let. b ch. 6 LTF n'entre pas en considération, la recourante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l'occurrence, la recourante reproche à la cour cantonale d'avoir refusé d'entrer en matière sur la plainte plutôt que suspendu la procédure (cf. art. 314 al. 1 let. a CPP ). Or, faute pour la procédure d'avoir été ouverte par le ministère public, celle-ci ne peut être suspendue (cf. arrêt 1B_734/2012 du 7 mars 2013 consid. 2.4). Aussi, le grief doit être écarté. Cela n'empêche pas que, si le ministère public considère que les conditions de l' art. 323 al. 1 CPP (appliqué par renvoi de l' art. 310 al. 2 CPP ) sont remplies, il pourra ordonner la reprise de la procédure préliminaire (sur cette question, cf. ATF 144 IV 81 ).</w:t>
      </w:r>
    </w:p>
    <w:p>
      <w:r>
        <w:t>En tant que la recourante se contente d'affirmer que la cour cantonale</w:t>
      </w:r>
    </w:p>
    <w:p>
      <w:r>
        <w:t>" ne pouvait pas rejeter sa demande d'assistance judiciaire " , elle ne formule aucune critique satisfaisant aux exigences de motivation de l'art. 42 al. 2, respectivement de l' art. 106 al. 2 LTF .</w:t>
      </w:r>
    </w:p>
    <w:p>
      <w:r>
        <w:rPr>
          <w:b/>
        </w:rPr>
        <w:t>E. 2</w:t>
      </w:r>
    </w:p>
    <w:p>
      <w:r>
        <w:t>Partant,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