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209/2013 vom 10. Mai 2013</w:t>
      </w:r>
    </w:p>
    <w:p>
      <w:r>
        <w:t>Bundesgericht, 2013-05-10, FR</w:t>
      </w:r>
    </w:p>
    <w:p>
      <w:r>
        <w:rPr>
          <w:b/>
        </w:rPr>
        <w:t xml:space="preserve">Quelle: </w:t>
      </w:r>
      <w:r>
        <w:t>https://mcp.opencaselaw.ch/entscheid/bger_6B_209_2013</w:t>
      </w:r>
    </w:p>
    <w:p>
      <w:r>
        <w:t>FR: TF 6B 209/2013 du 10 mai 2013</w:t>
      </w:r>
    </w:p>
    <w:p>
      <w:r>
        <w:t>IT: TF 6B 209/2013 del 10 maggio 2013</w:t>
      </w:r>
    </w:p>
    <w:p>
      <w:pPr>
        <w:pStyle w:val="Heading2"/>
      </w:pPr>
      <w:r>
        <w:t>Regeste</w:t>
      </w:r>
    </w:p>
    <w:p>
      <w:r>
        <w:t>Séquestration et enlèvement, brigandages, tentative de brigandage, fixation de la peine | Infractions</w:t>
      </w:r>
    </w:p>
    <w:p>
      <w:pPr>
        <w:pStyle w:val="Heading2"/>
      </w:pPr>
      <w:r>
        <w:t>Erwägungen</w:t>
      </w:r>
    </w:p>
    <w:p>
      <w:r>
        <w:rPr>
          <w:b/>
        </w:rPr>
        <w:t>E. 1</w:t>
      </w:r>
    </w:p>
    <w:p>
      <w:r>
        <w:t>Le recourant soutient que l'infraction de brigandage absorbe celle de séquestration commise au préjudice du facteur.</w:t>
      </w:r>
    </w:p>
    <w:p>
      <w:r>
        <w:rPr>
          <w:b/>
        </w:rPr>
        <w:t>E. 1.1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(BERNARD CORBOZ, Les infractions en droit suisse, vol. I, 2e éd. 2010, n° 9 ad art. 140 CP ). Selon la jurisprudence, le brigandage absorbe la séquestration et l'enlèvement pour autant que la privation de liberté subie par la victime n'aille pas au-delà de ce qu'implique la commission du brigandage ( ATF 129 IV 61 consid. 2.1). Le concours imparfait ne sera retenu que si la personne privée de sa liberté est celle qui est chargée de protéger la chose soustraite (MARCEL ALEXANDER NIGGLI/CHRISTOF RIEDO, in Basler Kommentar, Strafrecht II, 2e éd., n° 181-182 ad art. 140 CP ).</w:t>
      </w:r>
    </w:p>
    <w:p>
      <w:r>
        <w:rPr>
          <w:b/>
        </w:rPr>
        <w:t>E. 1.2</w:t>
      </w:r>
    </w:p>
    <w:p>
      <w:r>
        <w:t>En l'espèce, D.________ n'était pas un employé de la poste de J.________, mais un facteur, et n'avait donc aucune fonction de protection à l'égard du butin convoité par le recourant. Le recourant l'a agressé, plus de trois heures avant le brigandage, pour lui prendre son uniforme et son fourgon, puis l'a privé de sa liberté pour empêcher que celui-ci ne le dénonce et, ensuite, pour asseoir son emprise sur les employés du bureau de poste. Dans la mesure où D.________ n'était ni le surveillant ni l'ayant droit de la chose soustraite, le brigandage ne saurait absorber l'infraction de séquestration. La cour cantonale n'a donc pas violé le droit fédéral en retenant un concours réel entre ces deux infractions.</w:t>
      </w:r>
    </w:p>
    <w:p>
      <w:r>
        <w:rPr>
          <w:b/>
        </w:rPr>
        <w:t>E. 2</w:t>
      </w:r>
    </w:p>
    <w:p>
      <w:r>
        <w:t>Le recourant conteste la quotité de la peine ( art. 47 CP ). Soutenant que le brigandage absorbe la séquestration, il reproche à la cour cantonale d'avoir retenu le concours d'infractions à titre de circonstance aggravante. Comme vu ci-dessus, c'est à juste titre que la cour cantonale a retenu un concours réel et partant l'application de l' art. 49 CP . Le grief soulevé est donc infondé. Le recourant se plaint en outre de la violation du principe de la célérité qu'aurait admise le juge de première instance. Il ne motive cependant nullement ce grief, qui est partant irrecevable ( art. 42 LTF ).</w:t>
      </w:r>
    </w:p>
    <w:p>
      <w:r>
        <w:rPr>
          <w:b/>
        </w:rPr>
        <w:t>E. 3</w:t>
      </w:r>
    </w:p>
    <w:p>
      <w:r>
        <w:t>Le recours doit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Il n'y a pas lieu d'allouer d'indemnité aux intimés qui n'ont pas déposé de mémoire dans la procédure devant le Tribunal fédéral. 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