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6B_209/2011 vom 28. Juni 2011</w:t>
      </w:r>
    </w:p>
    <w:p>
      <w:r>
        <w:t>Bundesgericht, 2011-06-28, IT</w:t>
      </w:r>
    </w:p>
    <w:p>
      <w:r>
        <w:rPr>
          <w:b/>
        </w:rPr>
        <w:t xml:space="preserve">Quelle: </w:t>
      </w:r>
      <w:r>
        <w:t>https://mcp.opencaselaw.ch/entscheid/bger_6B_209_2011</w:t>
      </w:r>
    </w:p>
    <w:p>
      <w:r>
        <w:t>FR: TF 6B_209/2011 du 28 juin 2011</w:t>
      </w:r>
    </w:p>
    <w:p>
      <w:r>
        <w:t>IT: TF 6B_209/2011 del 28 giugno 2011</w:t>
      </w:r>
    </w:p>
    <w:p>
      <w:pPr>
        <w:pStyle w:val="Heading2"/>
      </w:pPr>
      <w:r>
        <w:t>Erwägungen</w:t>
      </w:r>
    </w:p>
    <w:p>
      <w:r>
        <w:rPr>
          <w:b/>
        </w:rPr>
        <w:t>E. 1.1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tempestivo ( art. 100 cpv. 1 LTF ), è di massima ammissibile quale ricorso in materia penale.</w:t>
      </w:r>
    </w:p>
    <w:p>
      <w:r>
        <w:rPr>
          <w:b/>
        </w:rPr>
        <w:t>E. 1.2</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DTF 133 IV 286 consid. 1.4). In questa misura, argomentazioni vaghe o meramente appellatorie e semplici rinvii agli atti cantonali non sono quindi ammissibili ( DTF 134 I 83 consid. 3.2; 129 I 113 consid. 2.1).</w:t>
      </w:r>
    </w:p>
    <w:p>
      <w:r>
        <w:rPr>
          <w:b/>
        </w:rPr>
        <w:t>E. 1.3</w:t>
      </w:r>
    </w:p>
    <w:p>
      <w:r>
        <w:t>Il gravame disattende in larga misura le citate esigenze di motivazione, siccome il ricorrente non si confronta con la sentenza della Corte cantonale, la sola a costituire oggetto dell'impugnativa, spiegando con chiarezza e precisione per quali ragioni essa violerebbe il diritto. Nella parte "in fatto" (da pag. 2 a 10 del ricorso), egli espone in effetti considerazioni di carattere generale sull'affidabilità delle misurazioni di velocità mediante apparecchi radar. Adduce inoltre argomenti che riguardano il procedimento amministrativo dinanzi alla Sezione della circolazione e la procedura relativa alla richiesta di gratuito patrocinio davanti al Giudice dell'istruzione e dell'arresto. Tali aspetti esulano tuttavia dall'oggetto del presente litigio e non sono quindi proponibili in questa sede. Il gravame è parimenti inammissibile laddove il ricorrente si diffonde sulla procedura dinanzi alla Pretura penale, senza confrontarsi con la decisione della Corte cantonale, che si è pronunciata, entro i limiti del suo potere di esame, sugli accertamenti e sull'operato del primo giudice. Nella parte "in diritto" (da pag. 11 a 13 del ricorso), il ricorrente ribadisce poi essenzialmente la sua opinione, diversa da quella delle precedenti istanze, senza sostanziare una violazione del divieto dell'arbitrio e del diritto da parte della Corte cantonale.</w:t>
      </w:r>
    </w:p>
    <w:p>
      <w:r>
        <w:rPr>
          <w:b/>
        </w:rPr>
        <w:t>E. 2.1</w:t>
      </w:r>
    </w:p>
    <w:p>
      <w:r>
        <w:t>Il ricorrente afferma di impugnare la sentenza della Corte cantonale adducendo l'invalidità del controllo della velocità eseguito il 2 maggio 2009. Sostiene che non sarebbe dimostrato che l'apparecchio radar utilizzato era stato trattato con cura da parte della polizia durante il trasporto e che non aveva subito riparazioni. Ribadisce inoltre la critica secondo cui la denominazione dell'apparecchio riportata dagli agenti sul rapporto di constatazione dell'eccesso di velocità e quella indicata sul protocollo di prova non corrisponderebbero all'indicazione sul certificato di verificazione.</w:t>
      </w:r>
    </w:p>
    <w:p>
      <w:r>
        <w:rPr>
          <w:b/>
        </w:rPr>
        <w:t>E. 2.2</w:t>
      </w:r>
    </w:p>
    <w:p>
      <w:r>
        <w:t>Le contestazioni sollevate vertono tuttavia genericamente sull'affidabilità dell'apparecchio radar e non dimostrano che le istanze cantonali avrebbero negato in modo manifestamente insostenibile, e quindi arbitrario, un'eventuale manchevolezza dello strumento di misurazione utilizzato. La Corte cantonale si è infatti fondata sul certificato di verificazione allegato al rapporto di polizia, il quale confermava che lo strumento era stato controllato il 26 marzo 2009 ed era risultato conforme ai requisti legali e quindi impiegabile per le misurazioni ufficiali. Ha altresì rilevato che non emergevano dagli atti indizi tali da rendere anche solo verosimili eventuali danni ai dispositivi di sigillatura o riparazioni di parti importanti per la misurazione. Questi accertamenti non sono censurati d'arbitrio dal ricorrente, tantomeno con una motivazione conforme alle esigenze degli art. 42 cpv. 2 e 106 cpv. 2 LTF. Essi potevano rettamente consentire alla Corte cantonale di concludere che il primo giudice aveva ritenuto in modo sostenibile che l'apparecchio era idoneo alla misurazione. Quanto alle indicazioni disuguali sui rapporti di polizia e sul certificato di verificazione, la Corte cantonale le ha concretamente confrontate e le ha ritenute sostanzialmente corrispondenti. Il fatto che tali indicazioni non siano esattamente identiche siccome i dati del certificato di verifica non sono stati riportati per esteso sui rapporti di polizia, non basta a fare ritenere arbitraria la corrispondenza accertata dai giudici cantonali sulla base di una valutazione oggettiva.</w:t>
      </w:r>
    </w:p>
    <w:p>
      <w:r>
        <w:rPr>
          <w:b/>
        </w:rPr>
        <w:t>E. 3.1</w:t>
      </w:r>
    </w:p>
    <w:p>
      <w:r>
        <w:t>Il ricorrente dichiara di impugnare i consid. 3.2 e 3.3 del giudizio della Corte cantonale, contestando il rimprovero di non avere notificato tempestivamente, giusta l' art. 227 CPP /TI, le prove da assumere al dibattimento. Nuovamente, il gravame non adempie le esigenze di motivazione degli art. 42 cpv. 2 e 106 cpv. 2 LTF, poiché il ricorrente non si confronta con il contenuto dei citati considerandi. Negli stessi, i giudici cantonali hanno infatti lasciato indecisa la questione della tempestività della richiesta di interrogare un testimone al dibattimento, esponendo le ragioni per cui la prova era comunque superflua ai fini del giudizio nei confronti del ricorrente.</w:t>
      </w:r>
    </w:p>
    <w:p>
      <w:r>
        <w:rPr>
          <w:b/>
        </w:rPr>
        <w:t>E. 3.2</w:t>
      </w:r>
    </w:p>
    <w:p>
      <w:r>
        <w:t>Il ricorso è infine parimenti inammissibile laddove il ricorrente afferma di impugnare gli ulteriori considerandi della sentenza in esame. Egli non si esprime infatti sulle argomentazioni esposte dai giudici cantonali, in particolare sull'applicazione dell' art. 90 n. 2 LCStr , e non censura quindi, con una motivazione specifica, la violazione di questa disposizione del diritto federale. Laddove richiama poi il caso di un conducente che avrebbe perso la padronanza del proprio veicolo e che sarebbe stato riconosciuto colpevole soltanto di infrazione lieve alle norme della circolazione dal Giudice della Pretura penale, il ricorrente disattende che in quest'ambito il principio di legalità è prevalente. Con l'argomentazione della Corte cantonale, che ha pertanto rettamente negato un'eventuale parità di trattamento nell'illegalità, il ricorrente non si confronta (cfr., al riguardo, DTF 135 IV 191 consid. 3.3).</w:t>
      </w:r>
    </w:p>
    <w:p>
      <w:r>
        <w:rPr>
          <w:b/>
        </w:rPr>
        <w:t>E. 4</w:t>
      </w:r>
    </w:p>
    <w:p>
      <w:r>
        <w:t>Ne segue che, in quanto ammissibile, il ricorso deve essere respinto.</w:t>
      </w:r>
    </w:p>
    <w:p>
      <w:r>
        <w:t>La domanda di assistenza giudiziaria con gratuito patrocinio presentata in questa sede deve essere respinta, essendo il gravame fin dall'inizio privo di possibilità di successo ( art. 64 cpv. 1 LTF ). Le spese giudiziarie sono di conseguenza poste a carico del ricorrente, in considerazione della sua soccombenza ( art. 66 cpv. 1 LTF ). Egli non ha peraltro fatto capo al patrocinio di un avvocato.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