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208/2024 vom 7. Oktober 2024</w:t>
      </w:r>
    </w:p>
    <w:p>
      <w:r>
        <w:t>Bundesgericht, 2024-10-07, FR</w:t>
      </w:r>
    </w:p>
    <w:p>
      <w:r>
        <w:rPr>
          <w:b/>
        </w:rPr>
        <w:t xml:space="preserve">Quelle: </w:t>
      </w:r>
      <w:r>
        <w:t>https://mcp.opencaselaw.ch/entscheid/bger_6B_208_2024</w:t>
      </w:r>
    </w:p>
    <w:p>
      <w:r>
        <w:t>FR: TF 6B 208/2024 du 7 octobre 2024</w:t>
      </w:r>
    </w:p>
    <w:p>
      <w:r>
        <w:t>IT: TF 6B 208/2024 del 7 ottobre 2024</w:t>
      </w:r>
    </w:p>
    <w:p>
      <w:pPr>
        <w:pStyle w:val="Heading2"/>
      </w:pPr>
      <w:r>
        <w:t>Regeste</w:t>
      </w:r>
    </w:p>
    <w:p>
      <w:r>
        <w:t>Gestion déloyale; tentative de contrainte | Infractions</w:t>
      </w:r>
    </w:p>
    <w:p>
      <w:pPr>
        <w:pStyle w:val="Heading2"/>
      </w:pPr>
      <w:r>
        <w:t>Erwägungen</w:t>
      </w:r>
    </w:p>
    <w:p>
      <w:r>
        <w:rPr>
          <w:b/>
        </w:rPr>
        <w:t>E. 1</w:t>
      </w:r>
    </w:p>
    <w:p>
      <w:r>
        <w:t>Le Tribunal fédéral examine d'office ( art. 29 al. 1 LTF ) et librement la recevabilité des recours qui lui sont soumis ( ATF 146 IV 185 consid. 2).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146 IV 76 consid. 3.1). L'arrêt attaqué, rendu en matière pénale ( art. 78 LTF ), émane d'une autorité cantonale de dernière instance ( art. 80 LTF ) et revêt indiscutablement un caractère final ( art. 90 LTF ). Le recours est donc recevable quant à son objet. Le recourant a en outre pris part à la procédure devant les instances cantonales et a formulé des conclusions civiles à concurrence de 31'928 fr. 75 avec intérêts à 5 % l'an dès le 1 er juillet 2019 à l'encontre de l'intimé. Le recourant a donc la qualité pour recourir au sens de l'art. 81 al. 1 let. b ch. 5 LTF.</w:t>
      </w:r>
    </w:p>
    <w:p>
      <w:r>
        <w:rPr>
          <w:b/>
        </w:rPr>
        <w:t>E. 2</w:t>
      </w:r>
    </w:p>
    <w:p>
      <w:r>
        <w:t>Le recourant conteste l'acquittement de l'intimé pour gestion déloyale ( art. 158 CP ). Il estime en effet que ce dernier a agi en qualité de gérant, ou à tout le moins en qualité de gestionnaire d'affaires sans mandat.</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78 consid. 4.1.2).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148 IV 409 consid. 2.2; 147 IV 73 consid. 4.1.3).</w:t>
      </w:r>
    </w:p>
    <w:p>
      <w:r>
        <w:rPr>
          <w:b/>
        </w:rPr>
        <w:t>E. 2.2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gérant d'affaires qui, sans mandat, agit de même encourt la même peine (ch. 1 al. 2). L'infraction réprimée par l' 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142 IV 346 consid. 3.2).</w:t>
      </w:r>
    </w:p>
    <w:p>
      <w:r>
        <w:rPr>
          <w:b/>
        </w:rPr>
        <w:t>E. 2.3</w:t>
      </w:r>
    </w:p>
    <w:p>
      <w:r>
        <w:t>Pour exclure la qualité de gérant de l'intimé, la cour cantonale a considéré que ce dernier n'avait jamais administré l'immeuble u.________, la gestion de ce bien ayant été confiée exclusivement au recourant. La cour cantonale a relevé que cette manière de procéder, soit la délégation de la gestion d'un immeuble en copropriété, était au demeurant conforme à l' art. 647 al. 1 CC . Quant aux actes de gestion de l'intimé en lien avec le contrat de bail du locataire susmentionné, la cour cantonale a estimé qu'ils n'étaient pas suffisants pour imputer à l'intimé la qualité de gérant. Le raisonnement de la cour cantonale ne prête pas flanc à la critique. Dans son argumentation, le recourant introduit librement des faits non constatés et ne fait qu'opposer sa propre appréciation des faits à celle de la cour cantonale dans une démarche purement appellatoire, partant, irrecevable ( art. 106 al. 2 LTF ). C'est notamment le cas lorsqu'il affirme qu'en effectuant des actes de gestion vis-à-vis de la copropriété, l'intimé a manifestement agi en qualité de gérant des actifs de la copropriété. Le recourant ne formule aucune critique recevable. La qualité de gérant étant exclue, il n'est pas nécessaire d'examiner l'aggravante en lien avec le dessein d'enrichissement. Par ailleurs, le moment pendant lequel les agissements de l'intimé ont eu lieu, soit avant le partage, importe peu. S'agissant de la qualité de gérant d'affaires sans mandat, celle-ci n'entre pas en ligne de compte dans la mesure où l'intimé est le copropriétaire de l'immeuble géré.</w:t>
      </w:r>
    </w:p>
    <w:p>
      <w:r>
        <w:rPr>
          <w:b/>
        </w:rPr>
        <w:t>E. 3</w:t>
      </w:r>
    </w:p>
    <w:p>
      <w:r>
        <w:t>Le recourant conteste l'acquittement de l'intimé du chef d'accusation de tentative de contrainte (art. 181 cum 22 CP) estimant que ce dernier l'a privé d'une somme d'argent non négligeable, ce qui l'a entravé dans sa liberté d'action.</w:t>
      </w:r>
    </w:p>
    <w:p>
      <w:r>
        <w:rPr>
          <w:b/>
        </w:rPr>
        <w:t>E. 3.1</w:t>
      </w:r>
    </w:p>
    <w:p>
      <w:r>
        <w:t>Se rend coupable de contrainte au sens de l' art. 181 CP celui qui, en usant de violence envers une personne ou en la menaçant d'un dommage sérieux, ou en l'entravant de quelque autre manière dans sa liberté d'action, l'aura obligée à faire, à ne pas faire ou à laisser faire un acte. Il peut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 arrêt 6B_1238/2023 du 21 mars 2024 consid. 1.1.2).</w:t>
      </w:r>
    </w:p>
    <w:p>
      <w:r>
        <w:rPr>
          <w:b/>
        </w:rPr>
        <w:t>E. 3.2</w:t>
      </w:r>
    </w:p>
    <w:p>
      <w:r>
        <w:t>La cour cantonale a relevé que l'intimé avait eu des doutes sur la bonne gestion de l'immeuble et qu'il avait demandé, à plusieurs reprises et en vain, des informations complémentaires aux décomptes sommaires obtenus de la fiduciaire du recourant. Elle a également relevé que le recourant avait plaidé en appel que l'intimé utilisait la compensation pour le contraindre illicitement à fournir ces informations, ce qui, selon elle, confirmait implicitement la version de l'intimé selon laquelle lesdites informations ne lui avaient pas été fournies. Enfin, la cour cantonale a indiqué qu'il était établi que l'intimé avait perçu, sur un compte dont il était le seul titulaire, le loyer d'un locataire sur la période du 1 er février 2018 au 15 juillet 2021 et que le recourant en avait été informé par un courrier d'avocat du 14 février 2018. Cette lettre mentionnait en outre clairement que l'intimé était ouvert à la discussion avec le recourant pour faire toute la lumière sur leurs prétentions respectives. Eu égard à ce qui précède, la cour cantonale a jugé que la compensation, d'un montant mensuel de 1'557 fr. 50, qui n'était pas de nature à menacer le minimum vital du recourant, par l'intimé ne constituait pas un comportement de contrainte illicite. Elle a ajouté qu'il aurait d'ailleurs été insensé de sanctionner l'intimé pour avoir eu recours de bonne foi à un acte formateur prévu par le CO dans la mesure où celui-ci soupçonnait subir un dommage du fait de la gestion du recourant qui refusait, en violation manifeste de son devoir de renseigner conformément à l' art. 400 CO , de lui remettre les comptes de l'immeuble.</w:t>
      </w:r>
    </w:p>
    <w:p>
      <w:r>
        <w:rPr>
          <w:b/>
        </w:rPr>
        <w:t>E. 3.3</w:t>
      </w:r>
    </w:p>
    <w:p>
      <w:r>
        <w:t>L'argumentation de la cour cantonale est convaincante. À nouveau, le recourant ne fait qu'opposer sa propre appréciation des faits à celle de la cour cantonale dans une démarche purement appellatoire, partant, irrecevable ( art. 106 al. 2 LTF ). C'est notamment le cas lorsqu'il affirme que l'intimé a sciemment décidé de le spoiler d'une somme d'argent non négligeable, ce qui l'a entravé dans sa liberté d'action ou que l'intimé a cherché à le pousser à renoncer à ses créances et ainsi à éviter l'ouverture d'une procédure civile à son encontre. Le recourant ne formule aucune critique recevable.</w:t>
      </w:r>
    </w:p>
    <w:p>
      <w:r>
        <w:rPr>
          <w:b/>
        </w:rPr>
        <w:t>E. 4</w:t>
      </w:r>
    </w:p>
    <w:p>
      <w:r>
        <w:t>Le recours est irrecevable. Le recourant, qui succombe, supporte les frais judiciaires liés à son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