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208/2017 vom 9. März 2017</w:t>
      </w:r>
    </w:p>
    <w:p>
      <w:r>
        <w:t>Bundesgericht, 2017-03-09, DE</w:t>
      </w:r>
    </w:p>
    <w:p>
      <w:r>
        <w:rPr>
          <w:b/>
        </w:rPr>
        <w:t xml:space="preserve">Quelle: </w:t>
      </w:r>
      <w:r>
        <w:t>https://mcp.opencaselaw.ch/entscheid/bger_6B_208_2017</w:t>
      </w:r>
    </w:p>
    <w:p>
      <w:r>
        <w:t>FR: TF 6B 208/2017 du 9 mars 2017</w:t>
      </w:r>
    </w:p>
    <w:p>
      <w:r>
        <w:t>IT: TF 6B 208/2017 del 9 marzo 2017</w:t>
      </w:r>
    </w:p>
    <w:p>
      <w:pPr>
        <w:pStyle w:val="Heading2"/>
      </w:pPr>
      <w:r>
        <w:t>Regeste</w:t>
      </w:r>
    </w:p>
    <w:p>
      <w:r>
        <w:t>Einstellung (fahrlässige Körperverletzung); Willkür etc., Nichteintreten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des Kantons St. Gallen, Schützengasse 1, 9001 St. Gallen, Beschwerdegegnerin,</w:t>
      </w:r>
    </w:p>
    <w:p>
      <w:r>
        <w:rPr>
          <w:b/>
        </w:rPr>
        <w:t>E. 2</w:t>
      </w:r>
    </w:p>
    <w:p>
      <w:r>
        <w:t>Der Privatkläger ist zur Beschwerde gegen eine Einstellungsverfügung legitimiert, wenn der angefochtene Entscheid sich auf die Beurteilung seiner Zivilansprüche auswirken kann (Art. 81 Abs. 1 lit. b Ziff. 5 BGG). Als Zivilansprüche im Sinne dieser Bestimmung gelten solche, die ihren Grund im Zivilrecht haben und deshalb ordentlicherweise vor dem Zivilgericht durchgesetzt werden müssen. Öffentlich-rechtliche Ansprüche, auch solche aus Staatshaftung, können nicht adhäsionsweise im Strafprozess geltend gemacht werden und zählen nicht zu den Zivilansprüchen gemäss Art. 81 Abs. 1 lit. b Ziff. 5 BGG ( BGE 131 I 455 E. 1.2.4; 128 IV 188 E. 2.2 f.; Urteil 6B_195/2016 vom 22. Juni 2016 E. 1.1 mit Hinweis).</w:t>
      </w:r>
    </w:p>
    <w:p>
      <w:r>
        <w:rPr>
          <w:b/>
        </w:rPr>
        <w:t>E. 3</w:t>
      </w:r>
    </w:p>
    <w:p>
      <w:r>
        <w:t>Das Bauamt der Gemeinde C.________ ist für den Unterhalt und Wartung des Spielplatzes B.________ verantwortlich. Der Beschwerdegegner 2 ist Leiter des Bauamtes (vgl. kantonale Akten, Entscheid der Anklagekammer vom 13. April 2016 betreffend Ermächtigungsverfahren). Nach Art. 1 Abs. 1 des Verantwortlichkeitsgesetzes des Kantons St. Gallen vom 7. Dezember 1959 (VG; SGS 161.1) haften der Staat, die Gemeinden, die übrigen öffentlich-rechtlichen Körperschaften und die öffentlich-rechtlichen Anstalten des kantonalen Rechtes für den Schaden, den ihre Behörden und Angestellten in Ausübung dienstlicher Verrichtungen Dritten widerrechtlich zufügen. Nach Art. 1 Abs. 3 VG /SG kann der Geschädigte Behördemitglieder und Angestellte nicht unmittelbar belangen.</w:t>
      </w:r>
    </w:p>
    <w:p>
      <w:r>
        <w:rPr>
          <w:b/>
        </w:rPr>
        <w:t>E. 4</w:t>
      </w:r>
    </w:p>
    <w:p>
      <w:r>
        <w:t>Allfällige Schadenersatz- und Genugtuungsansprüche des Beschwerdeführers gegen den Beschwerdegegner 2 beurteilen sich demnach ausschliesslich nach dem kantonalen Verantwortlichkeitsgesetz und sind öffentlich-rechtlicher Natur. Da dem Beschwerdeführer keine zivilrechtlichen Ansprüche gegen den Beschwerdegegner 2 zustehen, ist auf die Beschwerde im Verfahren nach Art. 108 BGG nicht einzutreten.</w:t>
      </w:r>
    </w:p>
    <w:p>
      <w:r>
        <w:rPr>
          <w:b/>
        </w:rPr>
        <w:t>E. 5</w:t>
      </w:r>
    </w:p>
    <w:p>
      <w:r>
        <w:t>Die Gerichtskosten sind dem Beschwerdeführer aufzuerlegen ( Art. 66 Abs. 1 BGG ). Das Gesuch um unentgeltliche Rechtspflege und Verbeiständung ist in Anwendung von Art. 64 BGG wegen Aussichtslosigkeit abzuweisen. Dem Beschwerdegegner 2 sind keine Kosten zu ersetzen, da er am bundesgerichtlichen Verfahren nicht mitgewirkt hat.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