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6B_207/2016 vom 21. März 2016</w:t>
      </w:r>
    </w:p>
    <w:p>
      <w:r>
        <w:t>Bundesgericht, 2016-03-21, DE</w:t>
      </w:r>
    </w:p>
    <w:p>
      <w:r>
        <w:rPr>
          <w:b/>
        </w:rPr>
        <w:t xml:space="preserve">Quelle: </w:t>
      </w:r>
      <w:r>
        <w:t>https://mcp.opencaselaw.ch/entscheid/bger_6B_207_2016</w:t>
      </w:r>
    </w:p>
    <w:p>
      <w:r>
        <w:t>FR: TF 6B_207/2016 du 21 mars 2016</w:t>
      </w:r>
    </w:p>
    <w:p>
      <w:r>
        <w:t>IT: TF 6B_207/2016 del 21 marzo 2016</w:t>
      </w:r>
    </w:p>
    <w:p>
      <w:pPr>
        <w:pStyle w:val="Heading2"/>
      </w:pPr>
      <w:r>
        <w:t>Erwägungen</w:t>
      </w:r>
    </w:p>
    <w:p>
      <w:r>
        <w:rPr>
          <w:b/>
        </w:rPr>
        <w:t>E. 1</w:t>
      </w:r>
    </w:p>
    <w:p>
      <w:r>
        <w:t>A.X.________,</w:t>
      </w:r>
    </w:p>
    <w:p>
      <w:r>
        <w:rPr>
          <w:b/>
        </w:rPr>
        <w:t>E. 2</w:t>
      </w:r>
    </w:p>
    <w:p>
      <w:r>
        <w:t>Da der angefochtene Entscheid am 26. Januar 2016 zugestellt wurde (Beschwerde S. 3 Ziff. 2), lief die Beschwerdefrist am 25. Februar 2016 ab. Die Eingabe vom 4. März 2016 ist verspätet.</w:t>
      </w:r>
    </w:p>
    <w:p>
      <w:r>
        <w:rPr>
          <w:b/>
        </w:rPr>
        <w:t>E. 3</w:t>
      </w:r>
    </w:p>
    <w:p>
      <w:r>
        <w:t>Die Privatklägerinnen sind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haben die Privatklägerinnen nicht notwendigerweise bereits vor den kantonalen Behörden Zivilansprüche geltend gemacht. Selbst wenn sie bereits adhäsionsweise privatrechtliche Ansprüche geltend gemacht haben, werden in der Einstellungsverfügung keine Zivilklagen behandelt ( Art. 320 Abs. 3 StPO ). In jedem Fall müssen sie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Die Beschwerdeführerinnen verweisen bei der Behandlung der Frage der Legitimation auf die StPO (Beschwerde S 9 - 12 E. 2). Vor Bundesgericht ist indessen nicht die StPO, sondern das Bundesgerichtsgesetz BGG anwendbar. Vor Bundesgericht genügt das von den Beschwerdeführerinnen erwähnte rechtlich geschützte Interesse nicht. Um welche Zivilforderung es gehen könnte, ist der Beschwerde nicht mit hinreichender Klarheit zu entnehmen. Insbesondere genügt der Abdruck der Rechnung des Tierspitals den strengen Begründungsanforderungen nicht, zumal die Beschwerdeführerinnen ausdrücklich feststellen, "die nicht gewollte Behandlung des rechten Fusses" sei auf der Rechnung gar nicht aufgeführt (vgl. Beschwerde S. 11/12). Gesamthaft gesehen ist die Legitimation der Beschwerdeführerinnen nicht dargetan. Folglich ist auf die Beschwerde im Verfahren nach Art. 108 BGG nicht einzutreten.</w:t>
      </w:r>
    </w:p>
    <w:p>
      <w:r>
        <w:rPr>
          <w:b/>
        </w:rPr>
        <w:t>E. 4</w:t>
      </w:r>
    </w:p>
    <w:p>
      <w:r>
        <w:t>Die Gerichtskosten sind den Beschwerdeführerinnen je zur Hälfte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