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6B_207/2013 vom 10. September 2013</w:t>
      </w:r>
    </w:p>
    <w:p>
      <w:r>
        <w:t>Bundesgericht, 2013-09-10, DE</w:t>
      </w:r>
    </w:p>
    <w:p>
      <w:r>
        <w:rPr>
          <w:b/>
        </w:rPr>
        <w:t xml:space="preserve">Quelle: </w:t>
      </w:r>
      <w:r>
        <w:t>https://mcp.opencaselaw.ch/entscheid/bger_6B_207_2013</w:t>
      </w:r>
    </w:p>
    <w:p>
      <w:r>
        <w:t>FR: TF 6B_207/2013 du 10 septembre 2013</w:t>
      </w:r>
    </w:p>
    <w:p>
      <w:r>
        <w:t>IT: TF 6B_207/2013 del 10 settembre 2013</w:t>
      </w:r>
    </w:p>
    <w:p>
      <w:pPr>
        <w:pStyle w:val="Heading2"/>
      </w:pPr>
      <w:r>
        <w:t>Erwägungen</w:t>
      </w:r>
    </w:p>
    <w:p>
      <w:r>
        <w:rPr>
          <w:b/>
        </w:rPr>
        <w:t>E. 1.1</w:t>
      </w:r>
    </w:p>
    <w:p>
      <w:r>
        <w:t>Der Beschwerdeführer rügt eine bundesrechtswidrige Anwendung von Art. 34 ff., Art. 42 ff. und Art. 47 ff. StGB . Die Vorinstanz habe für die schwerste Tat zwei Einsatzstrafen gebildet. Sie gehe von zwei Gruppen von Gehilfenschaften aus, welche sie aber nicht genauer definiere. Nicht klar sei, welche von den 110 mitverübten bzw. unterstützten Taten zur einen oder anderen Gruppe gehörten. Dadurch werde ihm verwehrt, die für die einzelnen Gruppen ausgefällten Strafmasse näher zu prüfen und anzufechten. Die Unterteilung der 110 Tatbeiträge und die zweigeteilte Bestrafung mit einer Freiheitsstrafe einerseits und einer Geldstrafe andererseits sei auch im Hinblick auf die Systematik des StGB bundesrechtswidrig. Dem anfänglich noch minder ausgeprägten Verschulden hätte nicht durch eine Unterteilung in "erste" und "weitere" Gehilfenschaften, sondern durch eine Strafminderung bei der Festsetzung der Freiheitsstrafe Rechnung getragen werden müssen. Die Vorinstanz habe zudem verschiedene Strafzumessungskriterien falsch gewichtet.</w:t>
      </w:r>
    </w:p>
    <w:p>
      <w:r>
        <w:rPr>
          <w:b/>
        </w:rPr>
        <w:t>E. 1.2.1</w:t>
      </w:r>
    </w:p>
    <w:p>
      <w:r>
        <w:t>Die Vorinstanz führt aus, sowohl die Gewerbsmässigkeit als auch die Bandenmässigkeit seien persönliche Merkmale im Sinne von Art. 27 StGB . Der Beschwerdeführer habe bei seinen Fahrdiensten zwar um die Verübung der gewerbs- und bandenmässigen Einbruchdiebstähle gewusst. Seine Beteiligung an den Fahrdiensten selbst sei aber, auch wenn sie ein beträchtliches Ausmass angenommen habe, weder gewerbsmässig erfolgt, noch habe er als Mitglied einer Bande gehandelt, weshalb er nicht der qualifizierten Strafandrohung gemäss Art. 139 Ziff. 2 und 3 StGB , sondern jener gemäss Art. 139 Ziff. 1 StGB unterliege (Urteil E. 4.3 S. 19). Trotzdem verurteilt sie den Beschwerdeführer gestützt auf jene Bestimmungen (Urteil Dispositiv Ziff. 2.2).</w:t>
      </w:r>
    </w:p>
    <w:p>
      <w:r>
        <w:rPr>
          <w:b/>
        </w:rPr>
        <w:t>E. 1.2.2</w:t>
      </w:r>
    </w:p>
    <w:p>
      <w:r>
        <w:t>Die Vorinstanz spricht für die "ersten" Gehilfenschaften zu den gewerbs- und bandenmässig begangenen Diebstählen, zu den Sachbeschädigungen und zu den Hausfriedensbrüchen sowie für die mehrfache Hehlerei eine Geldstrafe aus, während sie für die "weiteren" Gehilfenschaften zu den gewerbs- und bandenmässig begangenen Diebstählen, zu den Sachbeschädigungen und zu den Hausfriedensbrüchen eine Freiheitsstrafe ausfällt (Urteil E. 4.2 S. 18). Sie erwägt, bei den über die ersten Gehilfenschaften hinausgehenden Hilfeleistungen müsse der Beschwerdeführer erkannt haben, dass die Haupttäter systematisch und über unbestimmte Zeit in grossem Umfang weitere Einbruchdiebstähle begehen wollten. Da er hierzu weiterhin aus rein monetären Gründen Hilfe geleistet habe, sei der Unrechtsgehalt bei diesen Hilfeleistungen erheblich höher als bei den ersten Gehilfenschaften, weshalb für diese weiteren Gehilfenschaften eine Freiheitsstrafe festzusetzen sei (Urteil E. 4.5.1 S. 20). Das schwerste Delikt sei die letzte Gehilfenschaft zum gewerbs- und bandenmässigen Diebstahl, da Diebstahl der höheren Strafdrohung unterliege als Sachbeschädigung oder Hausfriedensbruch, dieser letzte Fahrdienst im Wissen um die zahlreichen vorangehenden Fahrdienste zur Begehung von Einbruchdiebstählen erfolgt sei und das subjektive Tatverschulden diesbezüglich somit sehr schwer wiege. Die Vorinstanz geht für diese Tat von einem mittelschweren Tatverschulden und einer Einsatzstrafe von 15 Monaten Freiheitsstrafe aus (Urteil E. 4.5.2 S. 20). Diese Strafe erhöht sie in Anwendung des Asperationsprinzips für die weiteren "über die ersten Gehilfenschaften hinausgehenden Taten", was eine Freiheitsstrafe von 30 Monaten ergab (Urteil E. 4.5.3-4.5.4 S. 20 f.).</w:t>
      </w:r>
    </w:p>
    <w:p>
      <w:r>
        <w:t>Bezüglich der "ersten" Gehilfenschaften argumentiert die Vorinstanz, der Beschwerdeführer habe diese noch nicht im Bewusstsein getätigt, zu einer Vielzahl systematisch ausgeführter Einbruchdiebstähle Hilfe zu leisten. Der Unrechtsgehalt dieser Taten sei erheblich geringer als derjenige für die weiteren Gehilfenschaften. Dafür sei daher eine Geldstrafe zu verhängen. Auch für die mehrfache Hehlerei rechtfertige sich eine Strafe im unteren Bereich des Strafrahmens, weshalb auch hier eine Geldstrafe auszusprechen sei (Urteil E. 4.6.1 S. 21 f.). Als schwerwiegendstes Delikt sei die letzte Gehilfenschaft zum gewerbs- und bandenmässigen Diebstahl zu qualifizieren, da diese im Wissen um die vorangehenden Fahrdienste zur Begehung von Einbruchdiebstählen in mehreren Nächten erfolgt sei. Die Vorinstanz erachtet hierfür eine Geldstrafe von 50 Tagessätzen als angemessen (Urteil E. 4.6.2 S. 22). Diese Strafe erhöht sie in Berücksichtigung der "übrigen ersten" Gehilfenschaften und der Hehlereien auf 120 Tagessätze (Urteil E. 4.6.3 S. 22).</w:t>
      </w:r>
    </w:p>
    <w:p>
      <w:r>
        <w:rPr>
          <w:b/>
        </w:rPr>
        <w:t>E. 1.3.1</w:t>
      </w:r>
    </w:p>
    <w:p>
      <w:r>
        <w:t>Hat der Täter durch eine oder mehrere Handlungen die Voraussetzungen für mehrere gleichartige Strafen erfüllt, so verurteilt ihn das Gericht zu der Strafe der schwersten Straftat und erhöht sie angemessen ( Art. 49 Abs. 1 Satz 1 StGB ). Art. 49 StGB gelangt nach der Rechtsprechung bei gewerbsmässigen Delikten als Kollektivdelikten nicht zur Anwendung, da die Strafschärfung bereits durch die Qualifizierung im besonderen Teil des StGB vorgesehen ist ( BGE 116 IV 121 E. 2b/aa). Von diesem Grundsatz ist nur abzuweichen,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 BGE 116 IV 121 E. 2b/aa; Trechsel/Affolter-Eijsten, Schweizerisches Strafgesetzbuch, Praxiskommentar, 2. Aufl. 2013, N. 6 zu Art. 49 StGB ).</w:t>
      </w:r>
    </w:p>
    <w:p>
      <w:r>
        <w:rPr>
          <w:b/>
        </w:rPr>
        <w:t>E. 1.3.2</w:t>
      </w:r>
    </w:p>
    <w:p>
      <w:r>
        <w:t>Der Gehilfe unterliegt grundsätzlich der Strafandrohung des Haupttäters. Er wird gemäss Art. 25 i.V.m. Art. 48a StGB jedoch milder bestraft (Marc Forster, in: Basler Kommentar, Strafrecht I, 3. Aufl. 2013, N. 66 zu Art. 25 StGB ). Besondere persönliche Verhältnisse, Eigenschaften und Umstände, welche die Strafbarkeit erhöhen, vermindern oder ausschliessen, werden allerdings nur bei dem Täter oder Teilnehmer berücksichtigt, bei dem sie vorliegen ( Art. 27 StGB ). Als persönliche Merkmale im Sinne von Art. 27 StGB gelten namentlich auch die Qualifikationsgründe der Gewerbs- und Bandenmässigkeit von Art. 139 Ziff. 2 und 3 StGB ( BGE 105 IV 182 E. 2a; 70 IV 125 ; Trechsel/Jean-Richard, Schweizerisches Strafgesetzbuch, Praxiskommentar, 2. Aufl. 2013, N. 2 zu Art. 27 StGB ; Trechsel/Noll, Schweizerisches Strafrecht, Allgemeiner Teil I, 6. Aufl. 2004, S. 232; Forster, a.a.O., N. 19 zu Art. 27 StGB ; Niggli/Riedo, in: Basler Kommentar, Strafrecht II, 3. Aufl. 2013, N. 117 und 135 zu Art. 139 StGB ; Stratenwerth/Jenny/Bommer, Schweizerisches Strafrecht, Besonderer Teil I, 7. Aufl. 2010, § 13 N. 109). Da der Beschwerdeführer gemäss den vorinstanzlichen Feststellungen selber nicht gewerbsmässig handelte und er auch nicht Mitglied der Bande von Y.________ war, brachte die Vorinstanz Art. 139 Ziff. 2 und 3 StGB zu Recht nicht zur Anwendung. Der mehrfachen Tatbegehung ist demnach im Rahmen von Art. 49 Abs. 1 StGB Rechnung zu tragen. Richtigerweise wäre der Beschwerdeführer folglich wegen mehrfacher Gehilfenschaft zu Diebstahl im Sinne von Art. 139 Ziff. 1 StGB schuldig zu sprechen gewesen (vgl. BGE 120 IV 265 E. 3).</w:t>
      </w:r>
    </w:p>
    <w:p>
      <w:r>
        <w:rPr>
          <w:b/>
        </w:rPr>
        <w:t>E. 1.4.1</w:t>
      </w:r>
    </w:p>
    <w:p>
      <w:r>
        <w:t>Für Strafen von weniger als sechs Monaten bzw. bis zu 180 Tagessätzen ist grundsätzlich eine Geldstrafe oder gemeinnützige Arbeit auszusprechen (Art. 34 Abs. 1, Art. 37 Abs. 1, Art. 40 und 41 Abs. 1 StGB ). Für Strafen von sechs Monaten bis zu einem Jahr (360 Tagessätzen) sieht das Gesetz die Geldstrafe ( Art. 34 StGB ) und die Freiheitsstrafe ( Art. 40 StGB ) vor. Bei der Wahl der Sanktionsart ist als wichtiges Kriterium die Zweckmässigkeit einer bestimmten Sanktion, ihre Auswirkungen auf den Täter und sein soziales Umfeld sowie ihre präventive Effizienz zu berücksichtigen ( BGE 134 IV 97 E. 4.2; 134 IV 82 E. 4.1).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134 IV 97 E. 4.2.2; 134 IV 82 E. 4.1).</w:t>
      </w:r>
    </w:p>
    <w:p>
      <w:r>
        <w:rPr>
          <w:b/>
        </w:rPr>
        <w:t>E. 1.4.2</w:t>
      </w:r>
    </w:p>
    <w:p>
      <w:r>
        <w:t>Das Bundesgericht entschied in BGE 138 IV 120 , die Bildung einer Gesamtstrafe im Sinne von Art. 49 Abs. 1 StGB sei nur bei gleichartigen Strafen möglich. Ungleichartige Strafen seien kumulativ zu verhängen, da das Asperationsprinzip nur greife, wenn mehrere gleichartige Strafen ausgesprochen würden. Die Voraussetzungen von Art. 49 Abs. 1 StGB seien erfüllt, wenn das Gericht im konkreten Fall für jeden einzelnen Normverstoss gleichartige Strafen ausfälle. Dass die anzuwendenden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w:t>
      </w:r>
    </w:p>
    <w:p>
      <w:r>
        <w:rPr>
          <w:b/>
        </w:rPr>
        <w:t>E. 1.5</w:t>
      </w:r>
    </w:p>
    <w:p>
      <w:r>
        <w:t>Die vorinstanzlichen Ausführungen, wonach für die mehrfache Gehilfenschaft zu Diebstahl, Sachbeschädigung und Hausfriedensbruch teils eine Geldstrafe und teils eine Freiheitsstrafe auszusprechen ist, sind mit Art. 49 StGB und der dazu ergangenen Rechtsprechung nicht vereinbar. Unklar ist, auf welche der 110 Gehilfenschaften sich die jeweiligen Strafen beziehen, da die Vorinstanz lediglich eine grobe Unterscheidung zwischen "ersten" und "übrigen" Gehilfenschaften vornimmt. Nicht nachvollziehbar ist zudem, weshalb die Vorinstanz für die "letzte der ersten" Gehilfenschaften eine Strafe von 50 Tagessätzen ausspricht und für die letzte Gehilfenschaft in der Deliktsserie, welche eine ähnlich gelagerte Tat betrifft, eine solche von 15 Monaten. Sie übersieht, dass vorliegend grundsätzlich gleich schwere Taten zu beurteilen waren. Die einzelnen Gehilfenschaften waren jeweils ähnlich gelagert. Den Feststellungen der Vorinstanz können keine Hinweise entnommen werden, weshalb bezüglich einzelner Tatbeiträge von einem schwereren Tatverschulden auszugehen wäre. Die Vorinstanz verkennt mit ihrer Begründung, dass der Tatmehrheit bei der Festsetzung der Gesamtstrafe Rechnung zu tragen ist. Die mehrfache Tatbegehung kann nicht zur Folge haben, dass bereits die Einsatzstrafe für die letzte Tat im Vergleich zu früheren Taten um ein Vielfaches höher ausfällt. Da Art. 139 Ziff. 2 StGB auf den Beschwerdeführer nicht anwendbar ist, hat bei der Strafzumessung auch sein Wissen um das gewerbsmässige Handeln der Haupttäter unberücksichtigt zu bleiben.</w:t>
      </w:r>
    </w:p>
    <w:p>
      <w:r>
        <w:t>Wäre die Vorinstanz nach BGE 138 IV 120 und 137 IV 57 vorgegangen, hätte sie prüfen müssen, ob für die einzelnen Gehilfenschaften und Hehlereien eine Geldstrafe (max. 360 Tagessätze) noch angemessen ist. Davon ist auszugehen, da die jeweiligen Taten einzeln betrachtet noch nicht besonders schwer wiegen. Damit kommt das Asperationsprinzip von Art. 49 Abs. 1 StGB bezüglich der verübten Gehilfenschaften und Hehlereien uneingeschränkt zum Tragen, da Geldstrafen und folglich gleichartige Strafen zu beurteilen sind.</w:t>
      </w:r>
    </w:p>
    <w:p>
      <w:r>
        <w:t>Die Rüge des Beschwerdeführers ist begründet. Damit braucht auf seine weiteren Einwände nicht mehr eingegangen zu werden.</w:t>
      </w:r>
    </w:p>
    <w:p>
      <w:r>
        <w:rPr>
          <w:b/>
        </w:rPr>
        <w:t>E. 2</w:t>
      </w:r>
    </w:p>
    <w:p>
      <w:r>
        <w:t>Die Beschwerde ist gutzuheissen. Das angefochtene Urteil ist aufzuheben und die Sache zu neuer Entscheidung an die Vorinstanz zurückzuweisen. Es sind keine Gerichtskosten zu erheben ( Art. 66 Abs. 4 BGG ). Der Kanton Aargau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