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6B_205/2022 vom 29. November 2022</w:t>
      </w:r>
    </w:p>
    <w:p>
      <w:r>
        <w:t>Bundesgericht, 2022-11-29, FR</w:t>
      </w:r>
    </w:p>
    <w:p>
      <w:r>
        <w:rPr>
          <w:b/>
        </w:rPr>
        <w:t xml:space="preserve">Quelle: </w:t>
      </w:r>
      <w:r>
        <w:t>https://mcp.opencaselaw.ch/entscheid/bger_6B_205_2022</w:t>
      </w:r>
    </w:p>
    <w:p>
      <w:r>
        <w:t>FR: TF 6B_205/2022 du 29 novembre 2022</w:t>
      </w:r>
    </w:p>
    <w:p>
      <w:r>
        <w:t>IT: TF 6B_205/2022 del 29 novembre 2022</w:t>
      </w:r>
    </w:p>
    <w:p>
      <w:pPr>
        <w:pStyle w:val="Heading2"/>
      </w:pPr>
      <w:r>
        <w:t>Erwägungen</w:t>
      </w:r>
    </w:p>
    <w:p>
      <w:r>
        <w:rPr>
          <w:b/>
        </w:rPr>
        <w:t>E. 1</w:t>
      </w:r>
    </w:p>
    <w:p>
      <w:r>
        <w:t>L'indemnité litigieuse a été fixée par une autorité de première instance dont la décision a ensuite fait l'objet d'un recours au plan cantonal. On ne se trouve dès lors pas dans l'hypothèse visée par l' art. 135 al. 3 let. b CPP , qui prévoit un recours devant le Tribunal pénal fédéral lorsque l'indemnité pour la défense d'office est fixée par l'autorité de recours. Le recours en matière pénale au Tribunal fédéral est ouvert ( ATF 140 IV 213 consid. 1.7).</w:t>
      </w:r>
    </w:p>
    <w:p>
      <w:r>
        <w:rPr>
          <w:b/>
        </w:rPr>
        <w:t>E. 2</w:t>
      </w:r>
    </w:p>
    <w:p>
      <w:r>
        <w:t>Le recourant se plaint d'une violation de son droit d'être entendu en lien avec une insuffisance de motivation du jugement de première instance.</w:t>
      </w:r>
    </w:p>
    <w:p>
      <w:r>
        <w:rPr>
          <w:b/>
        </w:rPr>
        <w:t>E. 2.1.1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t>Selon la jurisprudence rendue en matière de dépens, qui s'applique aux indemnités dues au défenseur d'office (arrêts 6B_1410/2017 du 15 juin 2018 consid. 3.1; 6B_329/2014 du 30 juin 2014 consid. 2.2),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 ATF 143 IV 453 consid. 2.5; arrêts 6B_1049/2021 du 16 août 2022 consid. 2.2; 6B_380/2021 du 21 juin 2022 consid. 2.2.3).</w:t>
      </w:r>
    </w:p>
    <w:p>
      <w:r>
        <w:rPr>
          <w:b/>
        </w:rPr>
        <w:t>E. 2.1.2</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 citées).</w:t>
      </w:r>
    </w:p>
    <w:p>
      <w:r>
        <w:t>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 ATF 138 I 484 consid. 2.1). Le droit de répliquer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et les réf. citées).</w:t>
      </w:r>
    </w:p>
    <w:p>
      <w:r>
        <w:rPr>
          <w:b/>
        </w:rPr>
        <w:t>E. 2.1.3</w:t>
      </w:r>
    </w:p>
    <w:p>
      <w:r>
        <w:t>Le droit d'être entendu est une garantie constitutionnelle de caractère formel, dont la violation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6B_1012/2020 du 8 avril 2021 consid. 1.1; 6B_218/2020 du 17 avril 2020 consid. 2.1).</w:t>
      </w:r>
    </w:p>
    <w:p>
      <w:r>
        <w:rPr>
          <w:b/>
        </w:rPr>
        <w:t>E. 2.2.1</w:t>
      </w:r>
    </w:p>
    <w:p>
      <w:r>
        <w:t>En première instance, l'indemnité d'office du recourant a été fixée à 12'943 fr. 40. Les premiers juges ont ainsi réduit de 882 fr. 30 le montant initialement réclamé selon la liste des opérations du 16 août 2021, faisant état, pour seul motif et sans autre indication chiffrée, d'une durée moindre de l'audience de jugement (cf. arrêt attaqué, ad " En fait ", let. A p. 2).</w:t>
      </w:r>
    </w:p>
    <w:p>
      <w:r>
        <w:rPr>
          <w:b/>
        </w:rPr>
        <w:t>E. 2.2.2</w:t>
      </w:r>
    </w:p>
    <w:p>
      <w:r>
        <w:t>Dans son acte de recours cantonal, le recourant a fait valoir que les seules opérations qui paraissaient avoir été réduites étaient celles relatives à la durée de l'audience de jugement, ce qui ne justifiait manifestement pas la réduction opérée. Il a invoqué, au surplus, une violation de son droit d'être entendu en lien avec un défaut de motivation des premiers juges.</w:t>
      </w:r>
    </w:p>
    <w:p>
      <w:r>
        <w:rPr>
          <w:b/>
        </w:rPr>
        <w:t>E. 2.2.3</w:t>
      </w:r>
    </w:p>
    <w:p>
      <w:r>
        <w:t>La cour cantonale a estimé que le montant de la réduction opérée par les premiers juges était justifié, en se fondant toutefois sur une pièce versée dans la fourre intitulée " Frais " du dossier pénal, soit en particulier sur la liste des opérations contenant des annotations manuscrites apposées par les premiers juges.</w:t>
      </w:r>
    </w:p>
    <w:p>
      <w:r>
        <w:t>Sur la base de la liste des opérations annotée, la cour cantonale a estimé que l'autorité de première instance pouvait non seulement réduire le poste " Audience de jugement " (4.5 heures) à 2.5 heures, mais également supprimer le poste " Opérations futures " (1 heure), réduire le poste " Entretien avec le client " (1.3 heure) à 1 heure selon la durée usuellement admise et, en outre, réduire les postes " Recherches juridiques " (2 heures) et " Préparation audience, y compris plaidoirie " (8 heures) à 5 heures au total, vu la nature et la complexité de la cause (cf. arrêt attaqué, consid. 2.3 p. 4 s.).</w:t>
      </w:r>
    </w:p>
    <w:p>
      <w:r>
        <w:rPr>
          <w:b/>
        </w:rPr>
        <w:t>E. 2.3</w:t>
      </w:r>
    </w:p>
    <w:p>
      <w:r>
        <w:t>Ce faisant, la cour cantonale a considéré que les motifs de la réduction de l'indemnité d'office ressortaient non pas directement du jugement de première instance, mais d'une pièce versée au dossier, sur laquelle figuraient des annotations apposées par les premiers juges. La cour cantonale s'est ainsi attachée à compléter la motivation du jugement de première instance en ce qui concerne des opérations dont la réduction n'avait pas été évoquée dans ce jugement.</w:t>
      </w:r>
    </w:p>
    <w:p>
      <w:r>
        <w:t>Une telle manière de procéder consacre une violation du droit d'être entendu du recourant, qui n'a pas pu valablement attaquer le jugement de première instance s'agissant en particulier des opérations ainsi nouvellement mises en cause (cf. consid. 2.1.1</w:t>
      </w:r>
    </w:p>
    <w:p>
      <w:r>
        <w:t>supra ).</w:t>
      </w:r>
    </w:p>
    <w:p>
      <w:r>
        <w:t>A tout le moins, il appartenait à la cour cantonale d'offrir au recourant la possibilité de se déterminer sur la liste des opérations annotée dont il n'est nullement fait état dans le jugement de première instance (cf. consid 2.1.2</w:t>
      </w:r>
    </w:p>
    <w:p>
      <w:r>
        <w:t>supra ).</w:t>
      </w:r>
    </w:p>
    <w:p>
      <w:r>
        <w:t>En définitive, le grief tiré de la violation du droit d'être entendu est fondé, la procédure devant le Tribunal fédéral ne permettant pas de guérir ce vice formel compte tenu du pouvoir d'examen restreint à l'arbitraire ( art. 97 al. 1 LTF ). La violation du droit d'être entendu entraîne l'annulation de l'arrêt attaqué, indépendamment des chances de succès au fond, ce qui rend sans objet les autres griefs soulevés par le recourant.</w:t>
      </w:r>
    </w:p>
    <w:p>
      <w:r>
        <w:rPr>
          <w:b/>
        </w:rPr>
        <w:t>E. 3</w:t>
      </w:r>
    </w:p>
    <w:p>
      <w:r>
        <w:t>Le recours doit dès lors être admis, l'arrêt attaqué annulé et la cause renvoyée à la cour cantonale pour nouvelle décision, après avoir offert la possibilité au recourant de se déterminer sur la liste des opérations annotée et sur les postes ainsi nouvellement mis en cause.</w:t>
      </w:r>
    </w:p>
    <w:p>
      <w:r>
        <w:t>Le renvoi peut être ordonné sans demander des déterminations à l'autorité précédente et à la partie adverse, car le Tribunal fédéral n'a pas traité la cause sur le fond et n'a pas préjugé de l'issue de la cause ( ATF 133 IV 293 consid. 3.4.2).</w:t>
      </w:r>
    </w:p>
    <w:p>
      <w:r>
        <w:t>Le recourant, qui obtient gain de cause, ne supporte pas de frais judiciaires ( art. 66 al. 1 LTF ). Eu égard à l'objet du litige, même s'il a plaidé dans sa propre cause, il peut prétendre à des dépens (cf. ATF 125 II 518 consid. 5b; arrêt 6B_659/2016 du 6 mars 2017 consid. 4), à la charge du canton de Vaud ( art. 68 al. 1 LTF ), lequel est dispensé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