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6B_204/2022 vom 17. Februar 2022</w:t>
      </w:r>
    </w:p>
    <w:p>
      <w:r>
        <w:t>Bundesgericht, 2022-02-17, DE</w:t>
      </w:r>
    </w:p>
    <w:p>
      <w:r>
        <w:rPr>
          <w:b/>
        </w:rPr>
        <w:t xml:space="preserve">Quelle: </w:t>
      </w:r>
      <w:r>
        <w:t>https://mcp.opencaselaw.ch/entscheid/bger_6B_204_2022</w:t>
      </w:r>
    </w:p>
    <w:p>
      <w:r>
        <w:t>FR: TF 6B_204/2022 du 17 février 2022</w:t>
      </w:r>
    </w:p>
    <w:p>
      <w:r>
        <w:t>IT: TF 6B_204/2022 del 17 febbraio 2022</w:t>
      </w:r>
    </w:p>
    <w:p>
      <w:pPr>
        <w:pStyle w:val="Heading2"/>
      </w:pPr>
      <w:r>
        <w:t>Erwägungen</w:t>
      </w:r>
    </w:p>
    <w:p>
      <w:r>
        <w:rPr>
          <w:b/>
        </w:rPr>
        <w:t>E. 1</w:t>
      </w:r>
    </w:p>
    <w:p>
      <w:r>
        <w:t>Das Regionalgericht Bern-Mittelland verfügte am 7. Dezember 2021, dass ein gegen A.________ erlassener Strafbefehl vom 25. August 2021 infolge Rückzugs der Einsprache (Rückzugsfiktion aufgrund unentschuldigten Fernbleibens von der Hauptverhandlung) in Rechtskraft erwachsen sei. Eine von A.________ dagegen erhobene Beschwerde wies das Obergericht des Kantons Bern am 3. Januar 2022 ab. A.________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Auf ungenügend begründete Rügen tritt das Bundesgericht nicht ein ( BGE 147 IV 73 E. 4.1.2).</w:t>
      </w:r>
    </w:p>
    <w:p>
      <w:r>
        <w:rPr>
          <w:b/>
        </w:rPr>
        <w:t>E. 3</w:t>
      </w:r>
    </w:p>
    <w:p>
      <w:r>
        <w:t>Der Beschwerdeführer befasst sich nicht ansatzweise mit den Erwägungen im angefochtenen Entscheid. Die Vorinstanz führt darin aus, er sei in Kenntnis der Sachlage der erstinstanzlichen Hauptverhandlung unentschuldigt ferngeblieben und die Erstinstanz habe daher zu Recht festgestellt, dass seine Einsprache kraft der Rückzugsfiktion von Art. 356 Abs. 4 StPO als zurückgezogen gelte und der Strafbefehl in Rechtskraft erwachsen sei. Weder aus seinem pauschalen Vorbringen, der vorinstanzliche Entscheid verstosse gegen mehrere Gesetze, noch aus seinem Hinweis, er sei unschuldig und niemand könne ihm seine Rechte nehmen, ergibt sich, inwiefern der angefochtene Entscheid gegen Recht verstossen soll. Gleiches gilt für seinen Vorwurf einer verfassungswidrigen Vorladung zur Hauptverhandlung, der nicht nur in keiner Weise substanziiert ist, sondern ebenfalls eine Auseinandersetzung mit den Erwägungen der Vorinstanz gänzlich vermissen lässt. Die Beschwerde vermag damit den Begründungsanforderungen offensichtlich nicht zu genügen.</w:t>
      </w:r>
    </w:p>
    <w:p>
      <w:r>
        <w:rPr>
          <w:b/>
        </w:rPr>
        <w:t>E. 4</w:t>
      </w:r>
    </w:p>
    <w:p>
      <w:r>
        <w:t>Auf die Beschwerde ist mangels tauglicher Begründung im Verfahren nach Art. 108 BGG nicht einzutreten. Bei diesem Ausgang des Verfahrens trägt der Beschwerdeführer die Gerichtskosten ( Art. 66 Abs. 1 BGG ). Vom Einholen eines Kostenvorschusses ist abzusehen, nachdem der Beschwerdeführer einen solchen bereits im Verfahren 6B_3/2022 nicht geleistet hat (vgl. Urteil 6B_3/2022 vom 17. Februar 2022).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