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6B_204/2020 vom 27. März 2020</w:t>
      </w:r>
    </w:p>
    <w:p>
      <w:r>
        <w:t>Bundesgericht, 2020-03-27, FR</w:t>
      </w:r>
    </w:p>
    <w:p>
      <w:r>
        <w:rPr>
          <w:b/>
        </w:rPr>
        <w:t xml:space="preserve">Quelle: </w:t>
      </w:r>
      <w:r>
        <w:t>https://mcp.opencaselaw.ch/entscheid/bger_6B_204_2020</w:t>
      </w:r>
    </w:p>
    <w:p>
      <w:r>
        <w:t>FR: TF 6B_204/2020 du 27 mars 2020</w:t>
      </w:r>
    </w:p>
    <w:p>
      <w:r>
        <w:t>IT: TF 6B_204/2020 del 27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24 juin 2014, la Cour d'appel pénale du Tribunal cantonal du canton de Vaud a condamné A.________, pour viol qualifié, tentative de viol, contraintes sexuelles qualifiées, contraintes sexuelles, actes d'ordre sexuel avec des enfants, tentatives d'actes d'ordre sexuel avec des enfants, séquestration et pornographie, à une peine privative de liberté de dix ans. Elle a en outre ordonné l'internement du prénommé. Cette décision a par la suite été confirmée par le Tribunal fédéral (cf. arrêt 6B_206/2015 du 8 octobre 2015).</w:t>
      </w:r>
    </w:p>
    <w:p>
      <w:r>
        <w:t>Par jugement du 2 octobre 2019, le Tribunal criminel de l'arrondissement de La Côte a refusé d'accorder à A.________ la libération conditionnelle de la peine privative de liberté précédant la mise en oeuvre éventuelle d'une mesure d'internement.</w:t>
      </w:r>
    </w:p>
    <w:p>
      <w:r>
        <w:t>Par arrêt du 18 décembre 2019, la Chambre des recours pénale du Tribunal cantonal vaudois a rejeté le recours formé par A.________ contre le jugement du 2 octobre 2019 et a confirmé celui-ci.</w:t>
      </w:r>
    </w:p>
    <w:p>
      <w:r>
        <w:t>A.________ forme un recours en matière pénale au Tribunal fédéral contre l'arrêt du 18 décembre 2019.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l'espèce, c'est en vain que l'on cherche, dans les écritures du recourant, des conclusions formelles ou une motivation topique propre à démontrer que la cour cantonale aurait pu violer le droit. L'intéressé consacre essentiellement ses écritures à la dénonciation du système judiciaire et carcéral vaudois, ou à celle d'une prétendue partialité de la part de magistrats étant intervenus dans sa cause, sans développer un quelconque grief, motivé à satisfaction, dirigé spécifiquement contre l'arrêt attaqué.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Le recours doit être déclaré irrecevable. Le recourant,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