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6B_201/2009 vom 10. Juni 2009</w:t>
      </w:r>
    </w:p>
    <w:p>
      <w:r>
        <w:t>Bundesgericht, 2009-06-10, FR</w:t>
      </w:r>
    </w:p>
    <w:p>
      <w:r>
        <w:rPr>
          <w:b/>
        </w:rPr>
        <w:t xml:space="preserve">Quelle: </w:t>
      </w:r>
      <w:r>
        <w:t>https://mcp.opencaselaw.ch/entscheid/bger_6B_201_2009</w:t>
      </w:r>
    </w:p>
    <w:p>
      <w:r>
        <w:t>FR: TF 6B_201/2009 du 10 juin 2009</w:t>
      </w:r>
    </w:p>
    <w:p>
      <w:r>
        <w:t>IT: TF 6B_201/2009 del 10 giugno 2009</w:t>
      </w:r>
    </w:p>
    <w:p>
      <w:pPr>
        <w:pStyle w:val="Heading2"/>
      </w:pPr>
      <w:r>
        <w:t>Erwägungen</w:t>
      </w:r>
    </w:p>
    <w:p>
      <w:r>
        <w:rPr>
          <w:b/>
        </w:rPr>
        <w:t>E. 1</w:t>
      </w:r>
    </w:p>
    <w:p>
      <w:r>
        <w:t>Le recourant se plaint d'arbitraire et d'une violation de la présomption d'innocence.</w:t>
      </w:r>
    </w:p>
    <w:p>
      <w:r>
        <w:rPr>
          <w:b/>
        </w:rPr>
        <w:t>E. 1.1</w:t>
      </w:r>
    </w:p>
    <w:p>
      <w:r>
        <w:t>Dans la mesure où, comme en l'espèce, l'appréciation des preuves est critiquée en référence avec le principe « in dubio pro reo », celui-ci n'a pas de portée plus large que l'interdiction de l'arbitraire ( ATF 127 I 38 consid 2a p. 41). Cette dernière notion a été rappelée récemment dans l' ATF 134 I 140 consid. 5.4 p. 148, auquel on peut donc se référer.</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Par ailleurs, l'arbitraire allégué doit être suffisamment démontré, sous peine d'irrecevabilité (cf. art. 106 al. 2 LTF ; ATF 133 IV 286 consid. 1.4 p. 287).</w:t>
      </w:r>
    </w:p>
    <w:p>
      <w:r>
        <w:rPr>
          <w:b/>
        </w:rPr>
        <w:t>E. 1.2</w:t>
      </w:r>
    </w:p>
    <w:p>
      <w:r>
        <w:t>Le recourant reproche à la Cour cantonale d'avoir retenu qu'il savait pertinemment que Y.________ n'avait pas modifié, de manière indue, les procès-verbaux des séances du Conseil communal.</w:t>
      </w:r>
    </w:p>
    <w:p>
      <w:r>
        <w:rPr>
          <w:b/>
        </w:rPr>
        <w:t>E. 1.2.1</w:t>
      </w:r>
    </w:p>
    <w:p>
      <w:r>
        <w:t>La Cour d'appel a relevé que le recourant ne contestait pas avoir dit à D.________, au Conseil communal et à la Commission financière que Y.________ avait modifié, de manière indue, les procès-verbaux des séances du Conseil communal, alors qu'il savait pertinemment que cela était faux, à tout le moins après avoir pris connaissance du dossier de la procédure administrative dirigée contre lui. Ce dossier comprenait en effet la détermination du Préfet de la Sarine du 24 juin 2005 attestant l'absence de tout manquement de la part du syndic.</w:t>
      </w:r>
    </w:p>
    <w:p>
      <w:r>
        <w:rPr>
          <w:b/>
        </w:rPr>
        <w:t>E. 1.2.2</w:t>
      </w:r>
    </w:p>
    <w:p>
      <w:r>
        <w:t>L'autorité précédente a ainsi admis que le recourant connaissait la fausseté de ses allégations en se fondant sur la détermination du 24 juin 2005 du Préfet de la Sarine (cf. pièce n° 8400). Or, l'intéressé affirme simplement que cette pièce ne permet pas de tirer de conclusion sur son intention. Ce faisant, il se contente d'opposer de manière appellatoire son appréciation des preuves à celle retenue, ce qui ne suffit pas pour démontrer l'arbitraire. Par ailleurs, à la lecture du courrier préfectoral précité, l'appréciation cantonale n'est pas manifestement insoutenable.</w:t>
      </w:r>
    </w:p>
    <w:p>
      <w:r>
        <w:t>Le recourant se réfère également au marasme constaté dans la tenue et aux différentes moutures du procès-verbal des séances du Conseil communal des 25 et 26 avril 2005 (cf. supra consid. A.a). Ces éléments, qui n'ont pas été ignorés par la Cour d'appel, sont sans pertinence, dès lors que le recourant avait eu connaissance de la détermination préfectorale, laquelle attestait, en date du 24 juin 2005, l'absence de tout manquement de la part du syndic.</w:t>
      </w:r>
    </w:p>
    <w:p>
      <w:r>
        <w:rPr>
          <w:b/>
        </w:rPr>
        <w:t>E. 1.3</w:t>
      </w:r>
    </w:p>
    <w:p>
      <w:r>
        <w:t>Le recourant reproche à l'instance inférieure d'avoir retenu qu'il avait voulu dire que Y.________ était un tricheur et un menteur.</w:t>
      </w:r>
    </w:p>
    <w:p>
      <w:r>
        <w:t>L'interprétation du sens des allégations incriminées constitue une question de droit ( ATF 131 IV 160 consid. 3.3.3 p. 164), et non pas de fait qui peut, elle seule, être contestée sous l'angle de l' art. 9 Cst. La critique est donc irrecevable.</w:t>
      </w:r>
    </w:p>
    <w:p>
      <w:r>
        <w:rPr>
          <w:b/>
        </w:rPr>
        <w:t>E. 2</w:t>
      </w:r>
    </w:p>
    <w:p>
      <w:r>
        <w:t>Le recourant conteste sa condamnation pour calomnie au sens de l' art. 174 al. 1 CP .</w:t>
      </w:r>
    </w:p>
    <w:p>
      <w:r>
        <w:rPr>
          <w:b/>
        </w:rPr>
        <w:t>E. 2.1</w:t>
      </w:r>
    </w:p>
    <w:p>
      <w:r>
        <w:t>Cette disposition punit, sur plainte, d'une peine privative de liberté de trois ans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w:t>
      </w:r>
    </w:p>
    <w:p>
      <w:r>
        <w:t>La calomnie ( art. 174 CP ) est une forme qualifiée de diffamation ( art. 173 CP )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2.1.1</w:t>
      </w:r>
    </w:p>
    <w:p>
      <w:r>
        <w:t>Les dispositions précitées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Echappent donc à la répression les assertions qui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128 IV 53 consid. 1a p. 57 s.; 119 IV 44 consid. 2a p. 47; 117 IV 27 consid. 2c p. 28 s.; 116 IV 205 consid. 2 p. 206 s.).</w:t>
      </w:r>
    </w:p>
    <w:p>
      <w:r>
        <w:t>Pour déterminer si une déclaration est attentatoire à l'honneur, il faut se fonder non pas sur le sens que lui donne la personne visée, mais sur une interprétation objective selon le sens qu'un destinataire non prévenu doit, dans les circonstances données, lui attribuer ( ATF 128 IV 53 consid. 1a p. 58).</w:t>
      </w:r>
    </w:p>
    <w:p>
      <w:r>
        <w:rPr>
          <w:b/>
        </w:rPr>
        <w:t>E. 2.1.2</w:t>
      </w:r>
    </w:p>
    <w:p>
      <w:r>
        <w:t>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(STRATENWERTH/JENNY, Schweizerisches Strafrecht, BT I, 6ème éd., § 11 n° 58; TRECHSEL ET AL., Schweizerisches Strafgesetzbuch, Praxiskommentar, art. 174 n° 3).</w:t>
      </w:r>
    </w:p>
    <w:p>
      <w:r>
        <w:rPr>
          <w:b/>
        </w:rPr>
        <w:t>E. 2.2</w:t>
      </w:r>
    </w:p>
    <w:p>
      <w:r>
        <w:t>Conformément à la définition donnée par les autorités fribourgeoises, le procès-verbal est un acte officiel d'une autorité ou d'une association qui doit refléter de façon rigoureuse ce qui a été dit ou fait lors d'une réunion. La chronologie exacte des diverses phases doit ressortir de ce document. A ce titre, il revêt une qualité probante sur le contenu des débats qu'il reproduit. Certes, des menues modifications, notamment des fautes de type orthographique, de remplacement d'abréviations, sont admissibles. Sous ces réserves cependant, le procès-verbal, rédigé séance tenante, ne doit pas être modifié ou adapté. En effet, un tel document ne souffre de par sa nature d'aucune interprétation sur l'exactitude du déroulement des débats ou d'une séance, dès lors qu'il reproduit, en principe textuellement, ce qui a été dit à l'occasion d'une assemblée, ici d'une séance d'un Conseil communal.</w:t>
      </w:r>
    </w:p>
    <w:p>
      <w:r>
        <w:t>Selon les constatations cantonales, le recourant a dit à D.________, au Conseil communal ainsi qu'à la Commission financière que Y.________ avait modifié, de manière indue, les procès-verbaux des séances des 25 et 26 avril 2005 du Conseil, suite auxquelles il a été suspendu provisoirement en qualité de conseiller communal (cf. supra consid. A.a et A.b). Ce faisant, et contrairement à ce qu'il soutient, le recourant n'a pas critiqué le politicien en tant que tel, mais a accusé l'intimé d'avoir eu un comportement malhonnête ou même illicite. En effet, compte tenu de la nature du procès-verbal telle qu'exposée ci-dessus, les accusations portées à l'encontre du syndic signifient que ce dernier aurait éventuellement abusé de son pouvoir au sens de l' art. 312 CP ou commis un faux dans les titres visé par l' art. 251 CP , ce dans le but de nuire à l'un des membres du Conseil. Or, le fait d'accuser une personne d'avoir commis une infraction entre nécessairement dans les prévisions des art. 173 s. CP (cf. ATF 132 IV 112 consid. 2 p. 115). Dans ces conditions, on se trouve en présence d'une atteinte à l'honneur au sens défini ci-dessus.</w:t>
      </w:r>
    </w:p>
    <w:p>
      <w:r>
        <w:t>Pour le reste, il ressort de l'arrêt entrepris que le recourant, qui avait été suspendu de ses fonctions de conseiller communal jusqu'au 4 octobre 2005, connaissait l'impact de ses déclarations ou devait les connaître. Il savait pertinemment que ses propos selon lesquels Y.________ avait modifié, de manière indue, les procès-verbaux des séances du Conseil communal étaient fausses. L'aspect subjectif de l'infraction est ainsi également réalisé.</w:t>
      </w:r>
    </w:p>
    <w:p>
      <w:r>
        <w:t>Sur le vu de ce qui précède, les conditions de l' art. 174 al. 1 CP sont toutes réunies. Par conséquent, la condamnation du recourant en application de cette disposition ne viole pas le droit fédéral.</w:t>
      </w:r>
    </w:p>
    <w:p>
      <w:r>
        <w:rPr>
          <w:b/>
        </w:rPr>
        <w:t>E. 3</w:t>
      </w:r>
    </w:p>
    <w:p>
      <w:r>
        <w:t>En conclusion,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