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200/2019 vom 15. Juli 2019</w:t>
      </w:r>
    </w:p>
    <w:p>
      <w:r>
        <w:t>Bundesgericht, 2019-07-15, DE</w:t>
      </w:r>
    </w:p>
    <w:p>
      <w:r>
        <w:rPr>
          <w:b/>
        </w:rPr>
        <w:t xml:space="preserve">Quelle: </w:t>
      </w:r>
      <w:r>
        <w:t>https://mcp.opencaselaw.ch/entscheid/bger_6B_200_2019</w:t>
      </w:r>
    </w:p>
    <w:p>
      <w:r>
        <w:t>FR: TF 6B 200/2019 du 15 juillet 2019</w:t>
      </w:r>
    </w:p>
    <w:p>
      <w:r>
        <w:t>IT: TF 6B 200/2019 del 15 luglio 2019</w:t>
      </w:r>
    </w:p>
    <w:p>
      <w:pPr>
        <w:pStyle w:val="Heading2"/>
      </w:pPr>
      <w:r>
        <w:t>Regeste</w:t>
      </w:r>
    </w:p>
    <w:p>
      <w:r>
        <w:t>Raufhandel | Straftaten</w:t>
      </w:r>
    </w:p>
    <w:p>
      <w:pPr>
        <w:pStyle w:val="Heading2"/>
      </w:pPr>
      <w:r>
        <w:t>Erwägungen</w:t>
      </w:r>
    </w:p>
    <w:p>
      <w:r>
        <w:rPr>
          <w:b/>
        </w:rPr>
        <w:t>E. 1.1</w:t>
      </w:r>
    </w:p>
    <w:p>
      <w:r>
        <w:t>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vgl. BGE 143 IV 434 E. 1.2.3 S. 439). Dies setzt im Falle eines Freispruchs der beschuldigten Person grundsätzlich voraus, dass die Privatklägerschaft, soweit zumutbar, ihre Zivilansprüche aus strafbarer Handlung im Strafverfahren geltend gemacht hat ( BGE 137 IV 246 E. 1.3.1 S. 247 f. mit Hinweisen), wobei Bezifferung und Begründung der Zivilklage spätestens im Parteivortrag der erstinstanzlichen Hauptverhandlung zu erfolgen haben ( Art. 123 Abs. 2 StPO ). Erhebt sie im Strafverfahren keine Zivilansprüche gegen die beschuldigte Person, hat sie in der Beschwerde an das Bundesgericht einerseits darzulegen, weshalb sie dies unterliess, und andererseits darzutun, auf welchen Zivilanspruch sich der angefochtene Entscheid auswirken kann (Urteile 6B_928/2018 vom 26. März 2019 E. 1.1; 6B_41/2019 vom 18. Februar 2019 E. 2; je mit Hinweisen). Genügt die Beschwerde diesen Begründungsanforderungen nicht, kann darauf nur eingetreten werden, wenn aufgrund der Natur der untersuchten Straftat ohne weiteres ersichtlich ist, um welche Zivilforderungen es geht ( BGE 141 IV 1 E. 1.1 S. 4 f. mit Hinweisen).</w:t>
      </w:r>
    </w:p>
    <w:p>
      <w:r>
        <w:rPr>
          <w:b/>
        </w:rPr>
        <w:t>E. 1.2</w:t>
      </w:r>
    </w:p>
    <w:p>
      <w:r>
        <w:t>Die Beschwerdeführerin wendet sich gegen die vorinstanzlichen Freisprüche von Y.________ und Z.________. Sie stellt in ihrer Beschwerde allerdings lediglich fest, dass sie sich im kantonalen Verfahren als Privat- und Strafklägerin konstituiert und adhäsionsweise die Geltendmachung von privatrechtlichen Ansprüchen vorbehalten habe (Beschwerde S. 4 f.). Ein solcher Vorbehalt genügt vorliegend nicht (vgl. Urteile 6B_928/2018 vom 26. März 2019 E. 1.1; 6B_1115/2017 vom 15. März 2018 E. 1.1; je mit Hinweis). Dass ihr die Geltendmachung von Zivilansprüchen im kantonalen Strafverfahren unzumutbar gewesen sein soll, behauptet die Beschwerdeführerin nicht. Sie legt im Übrigen auch nicht dar, inwiefern sich der angefochtene Entscheid auf ihre Zivilansprüche auswirken können sollte. Die Beschwerdelegitimation im Sinne von Art. 81 Abs. 1 lit. b Ziff. 5 BGG ist daher zu verneinen.</w:t>
      </w:r>
    </w:p>
    <w:p>
      <w:r>
        <w:rPr>
          <w:b/>
        </w:rPr>
        <w:t>E. 1.3</w:t>
      </w:r>
    </w:p>
    <w:p>
      <w:r>
        <w:t>Ungeachtet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allerdings nur Rügen formeller Natur, die von der Prüfung der Sache getrennt werden können (sog. "Star-Praxis"; BGE 141 IV 1 E. 1.1 S. 5; 138 IV 78 E. 1.3 S. 80; 136 IV 29 E. 1.9 S. 40; je mit Hinweisen). Soweit die Beschwerdeführerin demnach geltend macht, die Vorinstanz habe bei der Abgrenzung zwischen Tätlichkeiten im Sinne von Art. 126 Abs. 1 StGB und der einfachen Körperverletzung im Sinne von Art. 123 Ziff. 1 Abs. 2 StGB (leichter Fall) ihre Begründungspflicht und damit ihr rechtliches Gehör gemäss Art. 29 Abs. 2 BV verletzt, ist sie nicht zu hören, da diese Rüge im Ergebnis auf eine materielle Überprüfung des angefochtenen Entscheids hinausläuft.</w:t>
      </w:r>
    </w:p>
    <w:p>
      <w:r>
        <w:rPr>
          <w:b/>
        </w:rPr>
        <w:t>E. 2</w:t>
      </w:r>
    </w:p>
    <w:p>
      <w:r>
        <w:t>Auf die Beschwerde ist nicht einzutreten.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