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6B_200/2017 vom 1. November 2017</w:t>
      </w:r>
    </w:p>
    <w:p>
      <w:r>
        <w:t>Bundesgericht, 2017-11-01, FR</w:t>
      </w:r>
    </w:p>
    <w:p>
      <w:r>
        <w:rPr>
          <w:b/>
        </w:rPr>
        <w:t xml:space="preserve">Quelle: </w:t>
      </w:r>
      <w:r>
        <w:t>https://mcp.opencaselaw.ch/entscheid/bger_6B_200_2017</w:t>
      </w:r>
    </w:p>
    <w:p>
      <w:r>
        <w:t>FR: TF 6B_200/2017 du 1 novembre 2017</w:t>
      </w:r>
    </w:p>
    <w:p>
      <w:r>
        <w:t>IT: TF 6B_200/2017 del 1 novembre 2017</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le recourant a pris part à la procédure de dernière instance cantonale. Ses conclusions civiles ont été rejetées par le tribunal de première instance. La cour cantonale a ensuite confirmé ce rejet. Au terme de la procédure d'appel, le recourant a en outre été condamné à payer aux intimés une indemnité à titre de l' art. 429 CPP . Il a ainsi un intérêt juridique à l'annulation ou à la modification de la décision attaquée et est habilité à recourir au Tribunal fédéral.</w:t>
      </w:r>
    </w:p>
    <w:p>
      <w:r>
        <w:rPr>
          <w:b/>
        </w:rPr>
        <w:t>E. 2</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et les références citées; arrêt 6B_76/2017 du 3 octobre 2017 consid. 1).</w:t>
      </w:r>
    </w:p>
    <w:p>
      <w:r>
        <w:t>En l'espèce, le recourant n'a pas pris de conclusions sur le fond, mais a uniquement conclu à l'annulation du jugement attaqué et au renvoi de la cause à l'autorité précédente pour nouvelle décision. Les motifs du recours permettent cependant de comprendre que l'intéressé souhaite obtenir la condamnation des intimés pour lésions corporelles graves par négligence ainsi que l'admission de ses conclusions civiles. Cela suffit pour satisfaire aux exigences de forme déduites de l' art. 42 al. 1 et 2 LTF (cf. ATF 137 II 313 consid. 1.3 p. 317; arrêt 6B_76/2017 précité consid. 1).</w:t>
      </w:r>
    </w:p>
    <w:p>
      <w:r>
        <w:rPr>
          <w:b/>
        </w:rPr>
        <w:t>E. 3</w:t>
      </w:r>
    </w:p>
    <w:p>
      <w:r>
        <w:t>L'argumentation du recourant est irrecevable dans la mesure où elle s'écarte de l'état de fait de la cour cantonale, par lequel le Tribunal fédéral est lié ( art. 105 al. 1 LTF ) et dont l'intéressé ne prétend ni ne démontre qu'il serait entaché d'arbitraire (cf. art. 105 al. 2 LTF ). Il en va ainsi lorsque le recourant complète l'état de fait par ses propres adjonctions ou précisions, ou lorsqu'il prétend que les planches posées sur l'ouverture dans laquelle il a chuté se seraient écartées sans l'intervention volontaire d'un tiers.</w:t>
      </w:r>
    </w:p>
    <w:p>
      <w:r>
        <w:rPr>
          <w:b/>
        </w:rPr>
        <w:t>E. 4</w:t>
      </w:r>
    </w:p>
    <w:p>
      <w:r>
        <w:t>Le recourant fait grief à l'autorité précédente d'avoir nié l'existence d'un lien de causalité adéquate entre une éventuelle négligence des intimés concernant la protection de l'ouverture et sa propre chute.</w:t>
      </w:r>
    </w:p>
    <w:p>
      <w:r>
        <w:rPr>
          <w:b/>
        </w:rPr>
        <w:t>E. 4.1</w:t>
      </w:r>
    </w:p>
    <w:p>
      <w:r>
        <w:t>L' art. 125 CP réprime le comportement de celui qui, par négligence, aura fait subir à une personne une atteinte à l'intégrité corporelle ou à la santé. Aux termes de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p. 140; 135 IV 56 consid. 2.1 p. 64; 134 IV 255 consid. 4.2.3 p. 262). En second lieu, la violation du devoir de prudence doit être fautive, c'est-à-dire qu'il faut pouvoir reprocher à l'auteur une inattention ou un manque d'effort blâmable ( ATF 135 IV 56 consid. 2.1 p. 64; 134 IV 255 consid. 4.2.3 p. 262 et les références citées).</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p. 61).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w:t>
      </w:r>
    </w:p>
    <w:p>
      <w:r>
        <w:t>Aux termes de l' art. 17 al. 2 OTConst , les ouvertures dans les sols à travers lesquelles il est possible de tomber doivent être pourvues d'une protection latérale ou d'une couverture résistante à la rupture et solidement fixée.</w:t>
      </w:r>
    </w:p>
    <w:p>
      <w:r>
        <w:rPr>
          <w:b/>
        </w:rPr>
        <w:t>E. 4.2</w:t>
      </w:r>
    </w:p>
    <w:p>
      <w:r>
        <w:t>La cour cantonale a considéré que le recourant avait subi des lésions corporelles graves ensuite de la chute survenue le 9 octobre 2012. Les intimés devaient par ailleurs tous deux faire le nécessaire pour que le chantier fût sécurisé. L'autorité précédente a en outre estimé que le plancher en bois déposé sur l'ouverture devait, pour répondre aux exigences de l' art. 17 al. 2 OTConst , résister à un déplacement involontaire. Cependant, même s'il fallait retenir que le plancher en cause ne s'était pas avéré conforme à la disposition précitée, parce qu'il n'était pas propre à résister à un déplacement involontaire, il n'existait pas de lien de causalité adéquate entre une éventuelle négligence des intimés et la chute du recourant, dès lors que les planches avaient été déplacées volontairement par un ou des tiers. Pour le surplus, l'omission de fixer les planches au sol n'était pas fautive, car le plancher en question était resté en place durant plusieurs mois et n'avait pas été déplacé involontairement, alors qu'il se trouvait sur un lieu de passage. La cour cantonale a en outre considéré qu'il était hautement vraisemblable que le tiers qui avait démonté le plancher couvrant l'ouverture l'aurait également fait si celui-ci avait été solidement fixé au sol. En définitive, le fait qu'une personne ait ôté ledit plancher constituait la cause première de l'accident et reléguait à l'arrière-plan les autres facteurs qui auraient pu constituer une négligence de la part des intimés. Au demeurant, dès lors que le plancher avait été déplacé, il importait peu que les différentes planches eussent présenté une longueur de 20 cm de plus ou de moins.</w:t>
      </w:r>
    </w:p>
    <w:p>
      <w:r>
        <w:rPr>
          <w:b/>
        </w:rPr>
        <w:t>E. 4.3</w:t>
      </w:r>
    </w:p>
    <w:p>
      <w:r>
        <w:t>Le recourant soutient que les planches couvrant l'ouverture étaient de longueurs variées et qu'elles n'étaient pas fixées convenablement au sol. Selon lui, il serait dans le cours ordinaire des choses que des planches mal fixées puissent être déplacées, volontairement ou non. Il ressort cependant du jugement attaqué que, le jour où le recourant a chuté, le plancher avait été ôté par des tiers. Il n'apparaît ainsi pas que la longueur des planches ou le système de fixation eussent une quelconque influence sur la chute en question. Le recourant ne prétend pas, par ailleurs, qu'une fixation des planches conforme aux exigences de l' art. 17 al. 2 OTConst aurait dissuadé les tiers de déplacer le plancher. La cour cantonale a estimé à cet égard qu'une installation conforme n'aurait pas empêché les tiers d'enlever les planches, ce que l'intéressé ne conteste pas. Il ne soutient pas davantage que la disposition précitée aurait imposé aux intimés une obligation concernant le contrôle du maintien des dispositifs de protection, ni qu'une telle obligation - à supposer qu'elle existât - eût été violée.</w:t>
      </w:r>
    </w:p>
    <w:p>
      <w:r>
        <w:t>Le recourant développe ensuite une argumentation tendant à démontrer qu'il n'existerait pas d'interruption de la causalité adéquate due à une circonstance concomitante exceptionnelle et imprévisible. Son argumentation tombe à faux. En effet, il n'apparaît pas, en l'occurrence, qu'une négligence des intimés soit à l'origine de la chute du recourant, lequel est tombé dans l'ouverture tandis que le dispositif de protection avait été démonté. On ne voit pas, en conséquence, qu'un lien de causalité adéquate pût exister entre une négligence relative à la fixation ou la résistance du plancher et la chute due à l'absence de celui-ci.</w:t>
      </w:r>
    </w:p>
    <w:p>
      <w:r>
        <w:t>En définitive, il ne ressort nullement du dossier que l'installation, par les intimés, d'un plancher conforme aux exigences de l' art. 17 al. 2 OTConst aurait empêché son démontage par des tiers ou la chute du recourant. Or, le déplacement volontaire du plancher de protection, par un tiers inconnu, constitue en l'occurrence la cause naturelle et adéquate de l'accident du 9 octobre 2012.</w:t>
      </w:r>
    </w:p>
    <w:p>
      <w:r>
        <w:t>Mal fondé, le grief doit être rejeté.</w:t>
      </w:r>
    </w:p>
    <w:p>
      <w:r>
        <w:rPr>
          <w:b/>
        </w:rPr>
        <w:t>E. 5</w:t>
      </w:r>
    </w:p>
    <w:p>
      <w:r>
        <w:t>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 Les intimés, qui n'ont pas été invités à se déterminer sur le recours,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