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1/2019 vom 9. September 2019</w:t>
      </w:r>
    </w:p>
    <w:p>
      <w:r>
        <w:t>Bundesgericht, 2019-09-09, DE</w:t>
      </w:r>
    </w:p>
    <w:p>
      <w:r>
        <w:rPr>
          <w:b/>
        </w:rPr>
        <w:t xml:space="preserve">Quelle: </w:t>
      </w:r>
      <w:r>
        <w:t>https://mcp.opencaselaw.ch/entscheid/bger_6B_1_2019</w:t>
      </w:r>
    </w:p>
    <w:p>
      <w:r>
        <w:t>FR: TF 6B 1/2019 du 9 septembre 2019</w:t>
      </w:r>
    </w:p>
    <w:p>
      <w:r>
        <w:t>IT: TF 6B 1/2019 del 9 settembre 2019</w:t>
      </w:r>
    </w:p>
    <w:p>
      <w:pPr>
        <w:pStyle w:val="Heading2"/>
      </w:pPr>
      <w:r>
        <w:t>Regeste</w:t>
      </w:r>
    </w:p>
    <w:p>
      <w:r>
        <w:t>Anstiftung zur Schändung | Straftaten</w:t>
      </w:r>
    </w:p>
    <w:p>
      <w:pPr>
        <w:pStyle w:val="Heading2"/>
      </w:pPr>
      <w:r>
        <w:t>Erwägungen</w:t>
      </w:r>
    </w:p>
    <w:p>
      <w:r>
        <w:rPr>
          <w:b/>
        </w:rPr>
        <w:t>E. 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rPr>
          <w:b/>
        </w:rPr>
        <w:t>E. 2.1</w:t>
      </w:r>
    </w:p>
    <w:p>
      <w:r>
        <w:t>Die Vorinstanz erwägt, dass Y.________ lediglich Sex mit A.________ gewollt habe und sie zur Erreichung dieses Ziels damit einverstanden gewesen sei, dass ihr damaliger Freund X.________ mit einer anderen Frau Sex habe. Was dieser aber konkret getan habe und vor allem mit wem er es getan habe, habe für sie keine Rolle gespielt. Insofern könne hier nicht von einer einvernehmlichen Gesamthandlung ausgegangen werden. Vielmehr sei es der eigenverantwortliche Entscheid von X.________ gewesen, sich über B.________ herzumachen (Urteil, S. 26 f.).</w:t>
      </w:r>
    </w:p>
    <w:p>
      <w:r>
        <w:rPr>
          <w:b/>
        </w:rPr>
        <w:t>E. 2.2</w:t>
      </w:r>
    </w:p>
    <w:p>
      <w:r>
        <w:t>Die Beschwerdeführerin rügt unter anderem, dass die Aufforderung der Beschwerdegegnerin zum Partnertausch entgegen der Auffassung der Vorinstanz als kausal für den Tatentschluss von X.________ zu betrachten sei, sexuelle Handlungen an der widerstandsunfähigen B.________ vorzunehmen. Ohne diese Aufforderung hätte X.________ dies nicht getan. Zudem habe jeder angestiftete Täter trotz der Anstiftung die volle Verantwortung für seine Tat zu tragen, womit das Argument, dass X.________ den Tatentschluss eigenverantwortlich getroffen habe, eine Anstiftung nicht ausschliesse.</w:t>
      </w:r>
    </w:p>
    <w:p>
      <w:r>
        <w:rPr>
          <w:b/>
        </w:rPr>
        <w:t>E. 2.3</w:t>
      </w:r>
    </w:p>
    <w:p>
      <w:r>
        <w:t>Indem die Vorinstanz den Tatentschluss von X.________ als "eigenverantwortlich" bezeichnet, bringt sie im Kontext ihrer Erwägung einzig zum Ausdruck, dass dieser aus eigenem Antrieb getroffen und nicht durch die Beschwerdegegnerin motiviert worden sei. Es handelt sich dabei um eine Tatfrage, welche das Bundesgericht nur unter dem eingeschränkten Blickwinkel der Willkür überprüft. Die Beschwerdeführerin beschränkt sich darauf, der vorinstanzlichen Tatsachenfeststellung zu widersprechen, ohne darzulegen, dass und inwiefern diese willkürlich sein soll. Damit weicht sie bei der Rüge, die Beschwerdegegnerin habe sich der Anstiftung zur Schändung schuldig gemacht, in unzulässiger Weise von den verbindlichen Feststellungen der Vorinstanz ab. Bereits aus diesem Grund ist auf die Beschwerde nicht einzutreten.</w:t>
      </w:r>
    </w:p>
    <w:p>
      <w:r>
        <w:rPr>
          <w:b/>
        </w:rPr>
        <w:t>E. 3</w:t>
      </w:r>
    </w:p>
    <w:p>
      <w:r>
        <w:t>Der unterliegenden Staatsanwaltschaft sind keine Kosten aufzuerlegen ( Art. 66 Abs. 4 BGG ). Die Beschwerdegegnerin hat keinen Anspruch auf eine Parteientschädigung, zumal sie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