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199/2024 vom 28. Mai 2024</w:t>
      </w:r>
    </w:p>
    <w:p>
      <w:r>
        <w:t>Bundesgericht, 2024-05-28, FR</w:t>
      </w:r>
    </w:p>
    <w:p>
      <w:r>
        <w:rPr>
          <w:b/>
        </w:rPr>
        <w:t xml:space="preserve">Quelle: </w:t>
      </w:r>
      <w:r>
        <w:t>https://mcp.opencaselaw.ch/entscheid/bger_6B_199_2024</w:t>
      </w:r>
    </w:p>
    <w:p>
      <w:r>
        <w:t>FR: TF 6B 199/2024 du 28 mai 2024</w:t>
      </w:r>
    </w:p>
    <w:p>
      <w:r>
        <w:t>IT: TF 6B 199/2024 del 28 maggio 2024</w:t>
      </w:r>
    </w:p>
    <w:p>
      <w:pPr>
        <w:pStyle w:val="Heading2"/>
      </w:pPr>
      <w:r>
        <w:t>Regeste</w:t>
      </w:r>
    </w:p>
    <w:p>
      <w:r>
        <w:t>Discrimination raciale (art. 261bis CP); présomption d'innocence | Infractions</w:t>
      </w:r>
    </w:p>
    <w:p>
      <w:pPr>
        <w:pStyle w:val="Heading2"/>
      </w:pPr>
      <w:r>
        <w:t>Erwägungen</w:t>
      </w:r>
    </w:p>
    <w:p>
      <w:r>
        <w:rPr>
          <w:b/>
        </w:rPr>
        <w:t>E. 1</w:t>
      </w:r>
    </w:p>
    <w:p>
      <w:r>
        <w:t>Le recourant se plaint du fait que le jugement motivé du tribunal de police ne comportait pas la signature de la greffière au pied du dispositif. Il y voit un motif de nullité.</w:t>
      </w:r>
    </w:p>
    <w:p>
      <w:r>
        <w:rPr>
          <w:b/>
        </w:rPr>
        <w:t>E. 1.1</w:t>
      </w:r>
    </w:p>
    <w:p>
      <w:r>
        <w:t>Selon l' art. 80 al. 2 CPP , les prononcés sont signés par la direction de la procédure et par le préposé au procès-verbal. Cette exigence poursuivant un but de sécurité juridique est une condition de validité de l'acte et non une simple prescription d'ordre (cf. ATF 148 IV 445 consid. 1.3.2; arrêts 6B_1231/2015 du 31 mai 2016 consid. 1.2; 1B_608/2011 du 10 novembre 2011 consid. 2.3; voir également ATF 131 V 483 consid. 2.3.3).</w:t>
      </w:r>
    </w:p>
    <w:p>
      <w:r>
        <w:rPr>
          <w:b/>
        </w:rPr>
        <w:t>E. 1.2</w:t>
      </w:r>
    </w:p>
    <w:p>
      <w:r>
        <w:t>La cour cantonale a retenu que le jugement du 18 novembre 2021 se composait du procès-verbal de l'audience jusqu'à sa suspension, signé par la présidente et la greffière (cf. jugement du 18 novembre 2021, p. 12), puis du jugement proprement dit, à savoir les considérants en fait et en droit, suivis du dispositif, lequel avait effectivement été signé par la présidente uniquement ( ibidem , p. 25), et enfin du procès-verbal de reprise d'audience pour la lecture, signé par la présidente et la greffière ( ibidem , p. 26). Pour la cour cantonale, le Code de procédure pénale ne prévoyait pas la nécessité de plusieurs signatures au fil du texte. Elle souligne que les motifs et dispositif étaient rédigés par le président et non par le greffier qui, en première instance dans le canton de Vaud, n'était pas nécessairement doté d'une formation juridique. Le dispositif avait donc été signé par la présidente qui en était l'auteure. La signature de la greffière qui figurait au terme du document compilé valant jugement paraissait suffisante pour garantir l'authenticité du document. De plus, il résultait du procès-verbal qu'un exemplaire du dispositif avait été remis séance tenante aux parties (cf. jugement du 18 novembre 2021, p. 26) et que le recourant ne prétendait pas que cet exemplaire n'était pas signé.</w:t>
      </w:r>
    </w:p>
    <w:p>
      <w:r>
        <w:rPr>
          <w:b/>
        </w:rPr>
        <w:t>E. 1.3</w:t>
      </w:r>
    </w:p>
    <w:p>
      <w:r>
        <w:t>La version motivée du jugement du 18 novembre 2021 ne comporte pas la signature de la greffière. L' art. 80 al. 2 CPP exige la signature du "préposé au procès-verbal" de sorte qu'il n'est pas pertinent de savoir si cette personne disposait ou non d'une formation juridique. Toutefois, contrairement à l'avis du recourant, il n'y a pas de vice si grave qu'il faudrait partir du principe que le jugement est nul. En effet, dans le domaine du droit pénal, la sécurité du droit revêt une importance toute particulière qui implique qu'on ne saurait admettre facilement la nullité (cf. ATF 148 IV 445 consid. 1.4.2). Un dispositif valablement signé avait été remis séance tenante et le recourant ne soutient pas qu'il y aurait un quelconque doute sur l'authenticité ou l'exactitude du prononcé. De plus, il ne fait pas de doute que le non-respect de cette exigence de forme n'était aucunement volontaire et ne reposait pas sur une pratique établie. L'absence de la signature de la greffière relève d'une simple inadvertance qu'il conviendra de rectifier. Il convient par conséquent d'inviter le tribunal de police (art. 107 al. 2 in fine LTF) à remettre un exemplaire du jugement correctement signé au recourant (cf. arrêt 6B_85/2021 du 26 novembre 2021 consid. 6.4.2).</w:t>
      </w:r>
    </w:p>
    <w:p>
      <w:r>
        <w:rPr>
          <w:b/>
        </w:rPr>
        <w:t>E. 2</w:t>
      </w:r>
    </w:p>
    <w:p>
      <w:r>
        <w:t>Le recourant se plaint d'arbitraire dans l'établissement des faits et invoque une violation du principe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2.3</w:t>
      </w:r>
    </w:p>
    <w:p>
      <w:r>
        <w:t>La cour cantonale a retenu en substance qu'aucun élément ne permettait de remettre en cause la version du journaliste selon laquelle le recourant avait effectivement dit " il y a pire que le coronavirus, il y a le judéovirus ".</w:t>
      </w:r>
    </w:p>
    <w:p>
      <w:r>
        <w:rPr>
          <w:b/>
        </w:rPr>
        <w:t>E. 2.4</w:t>
      </w:r>
    </w:p>
    <w:p>
      <w:r>
        <w:t>Le recourant soutient que le journaliste ne serait pas crédible. Le recourant se borne à opposer sa propre appréciation de la crédibilité du journaliste et à présenter sa propre version des faits de manière purement appellatoire en soutenant notamment que le journaliste serait le relais d'un " parti trotskyste ", qu'il aurait été partial et aurait violé la déontologie de sa profession. Au demeurant, la cour cantonale a relevé, sans que le recourant n'en démontre l'arbitraire, que le journaliste espérait certainement un dérapage afin d'étayer son article à intervenir - et ce pas nécessairement parce qu'il aurait des sympathies de gauche -, et qu'il n'avait une chance d'en être témoin qu'à la condition de rester anonyme, dès lors qu'une annonce de sa qualité aurait eu un effet sur la liberté avec laquelle les participants s'exprimaient. Le recourant avait d'ailleurs lui-même relevé que ses compatriotes se surveillaient dans leurs propos par crainte des médias. Si, comme le recourant le prétendait, il n'était pas susceptible de tenir des propos tombant sous le coup de la loi, il n'avait rien à craindre d'un journaliste et ne pouvait lui faire grief de ne pas s'être clairement annoncé à ce titre à la conférence. Ainsi, la cour cantonale a tiré - sans arbitraire - le constat que ce qui dérangeait le recourant, c'était d'avoir ignoré qu'il ne se trouvait pas seulement en présence de personnes partageant les mêmes idées et qu'il devait donc surveiller ses propos, pas seulement pendant la conférence proprement dite, mais aussi avant et après celle-ci.</w:t>
      </w:r>
    </w:p>
    <w:p>
      <w:r>
        <w:rPr>
          <w:b/>
        </w:rPr>
        <w:t>E. 2.5</w:t>
      </w:r>
    </w:p>
    <w:p>
      <w:r>
        <w:t>Le recourant prétend qu'il y aurait un doute sur le fait que le journaliste puisse avoir entendu les propos litigieux. Or la cour cantonale a expliqué de manière convaincante qu'une pure invention de la part du journaliste était exclue considérant les risques qu'il encourrait au regard du faible profit qu'il aurait pu en retirer. En outre, s'il devait s'agir d'une mécompréhension de la part du journaliste, il était plus qu'étonnant que le recourant ne se soit jamais prononcé sur ce qu'il avait réellement pu dire à ses proches en se penchant vers eux en lieu et place de ce qui avait été reporté par le journaliste. Plus encore, le recourant n'avait jamais fourni l'identité des proches concernés, ni même demandé leur audition, alors qu'il se plaignait que le ministère public n'ait pas entendu davantage de témoins présents dans la salle.</w:t>
      </w:r>
    </w:p>
    <w:p>
      <w:r>
        <w:rPr>
          <w:b/>
        </w:rPr>
        <w:t>E. 2.6</w:t>
      </w:r>
    </w:p>
    <w:p>
      <w:r>
        <w:t>Le recourant se borne vainement à se prévaloir, une fois de plus, en instance fédérale, du témoignage de E.________ qui affirme n'avoir pas entendu les propos litigieux, celui-ci n'étant pas dans la salle au moment des faits.</w:t>
      </w:r>
    </w:p>
    <w:p>
      <w:r>
        <w:rPr>
          <w:b/>
        </w:rPr>
        <w:t>E. 2.7</w:t>
      </w:r>
    </w:p>
    <w:p>
      <w:r>
        <w:t>Au vu de ce qui précède, le recourant ne démontre nullement qu'il était manifestement insoutenable de retenir, comme l'a fait la cour cantonale, que les déclarations du journaliste étaient crédibles. La cour cantonale pouvait se convaincre, sans verser dans l'arbitraire, que le recourant avait effectivement tenu de tels propos. Conformément à la jurisprudence (cf. supra consid. 2.2), le principe in dubio pro reo n'a ici pas de portée plus large que l'interdiction de l'arbitraire. Partant, le grief est rejeté, dans la mesure où il est recevable.</w:t>
      </w:r>
    </w:p>
    <w:p>
      <w:r>
        <w:rPr>
          <w:b/>
        </w:rPr>
        <w:t>E. 3</w:t>
      </w:r>
    </w:p>
    <w:p>
      <w:r>
        <w:t>Le recourant soutient que ses propos ne tomberaient pas sous le coup de l' art. 261bis CP , car il s'agirait d'une simple "plaisanterie" de mauvais goût.</w:t>
      </w:r>
    </w:p>
    <w:p>
      <w:r>
        <w:rPr>
          <w:b/>
        </w:rPr>
        <w:t>E. 3.1.1</w:t>
      </w:r>
    </w:p>
    <w:p>
      <w:r>
        <w:t>Aux termes de l' art. 261bis CP , dans sa teneur en vigueur jusqu'au 30 juin 2020,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Depuis le 1er juillet 2020, et l'entrée en vigueur à cette date de la nouvelle du 14 décembre 2018 (RO 2020 1609), la portée de la disposition est étendue à la discrimination, au rabaissement et à l'incitation à la haine en raison de l'orientation sexuelle. L' art. 261bis CP vise notamment à protéger la dignité que tout homme acquiert dès la naissance et l'égalité entre les êtres humains. En protégeant l'individu du fait de son appartenance à un groupe ethnique ou religieux, la paix publique est indirectement protégée ( ATF 148 IV 188 consid. 1.3; 140 IV 67 consid. 2.1.1; 133 IV 308 consid. 8.2 et les références citées; arrêt 6B_777/2022 du 16 mars 2023 consid. 1.1.1 destiné à publication).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148 IV 188 consid. 1.3; 140 IV 67 consid. 2.1.1; 133 IV 308 consid. 8.2 et les références citées; arrêt 6B_644/2020 du 14 octobre 2020 consid. 1.2).</w:t>
      </w:r>
    </w:p>
    <w:p>
      <w:r>
        <w:rPr>
          <w:b/>
        </w:rPr>
        <w:t>E. 3.1.2</w:t>
      </w:r>
    </w:p>
    <w:p>
      <w:r>
        <w:t>Le judaïsme constitue une religion au sens de l' art. 261bis CP ( ATF 143 IV 77 consid. 2.3; 124 IV 121 consid. 2b; 123 IV 202 consid. 4c).</w:t>
      </w:r>
    </w:p>
    <w:p>
      <w:r>
        <w:rPr>
          <w:b/>
        </w:rPr>
        <w:t>E. 3.1.3</w:t>
      </w:r>
    </w:p>
    <w:p>
      <w:r>
        <w:t>Du point de vue subjectif, le délit est intentionnel, le dol éventuel pouvant suffire ( ATF 148 IV 113 consid. 3; 145 IV 23 consid. 2.3; arrêts 6B_857/2022 du 13 avril 2023 consid. 1.3.1).</w:t>
      </w:r>
    </w:p>
    <w:p>
      <w:r>
        <w:rPr>
          <w:b/>
        </w:rPr>
        <w:t>E. 3.1.4</w:t>
      </w:r>
    </w:p>
    <w:p>
      <w:r>
        <w:t>Déterminer le contenu d'un message relève des constatations de fait, tout comme la détermination du mobile, en tant que cause psychologique d'une manifestation déterminée de volonté ( ATF 149 IV 170 consid. 1.1.4; 145 IV 23 consid. 4.2).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148 IV 113 consid. 3; 145 IV 462 consid. 4.2.3; 143 IV 193 consid. 1; 137 IV 313 consid. 2.1.3).</w:t>
      </w:r>
    </w:p>
    <w:p>
      <w:r>
        <w:rPr>
          <w:b/>
        </w:rPr>
        <w:t>E. 3.2</w:t>
      </w:r>
    </w:p>
    <w:p>
      <w:r>
        <w:t>Le recourant soutient que ses propos seraient une simple plaisanterie et que l' art. 261bis CP n'aurait pas pour vocation "de prohiber toute forme d'humour du seul fait qu'un justiciable évoquerait l'une ou l'autre communauté". En l'espèce, c'est à juste titre que la cour cantonale a retenu que comparer un groupe de personnes à un virus a une connotation éminemment dépréciative et que tout tiers l'interpréterait comme associant ces personnes à un mal qui se propage et qu'il y a lieu de craindre. Sur le plan subjectif, la cour cantonale a également retenu, à raison, que le fait pour le recourant de dire " je le dis avant que la caméra tourne ", démontrait bien que celui-ci avait réalisé que ses propos étaient problématiques et qu'il valait mieux pour lui qu'il n'y en ait pas de preuve vidéo. Il avait donc conscience que ses paroles avaient un caractère discriminatoire. Il ne fait dès lors pas de doute que le recourant était mû par un mobile discriminatoire, son but ne pouvant être autre que de dénigrer les juifs. Comme l'a déjà justement souligné la cour cantonale, sa justification voulant qu'il s'agirait uniquement d'une plaisanterie de mauvais goût ne lui est d'aucun secours. Cela impliquerait que le caractère soi-disant humoristique de ses propos découlerait directement de leur qualité discriminante, ce qui démontre déjà chez leur auteur un dédain à l'égard des intéressés. De surcroît, le recourant ayant prononcé ces paroles dénigrantes spontanément et gratuitement, en dehors de tout contexte pouvant commencer d'expliquer un pareil trait d'"humour", il n'y a pas lieu de douter que sa volonté était de se montrer dénigrant envers les personnes de confession juive. Partant, le grief du recourant doit être rejeté dans la mesure où il est recevable.</w:t>
      </w:r>
    </w:p>
    <w:p>
      <w:r>
        <w:rPr>
          <w:b/>
        </w:rPr>
        <w:t>E. 4</w:t>
      </w:r>
    </w:p>
    <w:p>
      <w:r>
        <w:t>Le recours doit être très partiellement admis (cf. consid. 1.3) et la cause renvoyée au tribunal de police (art. 107 al. 2 in fine LTF), afin de remettre un exemplaire du jugement du 18 novembre 2021 correctement signé par la greffière au recourant. Cette problématique n'ayant pas d'incidence sur les frais et dépens un renvoi à la cour cantonale n'est pas nécessaire. Pour le surplus, le recours est rejeté dans la mesure où il est recevable. Au regard de la nature formelle du vice examiné, il peut être procédé au renvoi sans ordonner préalablement un échange d'écritures (cf. ATF 133 IV 293 consid. 3.4.2). Le recourant, qui n'obtient que partiellement gain de cause, supportera une partie des frais judiciaires ( art. 66 al. 1 LTF ). Il peut prétendre à des dépens réduits, à la charge du canton de Vaud ( art. 68 al. 1 LTF ), lequel n'a pas à supporter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