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6B_199/2019 vom 18. März 2019</w:t>
      </w:r>
    </w:p>
    <w:p>
      <w:r>
        <w:t>Bundesgericht, 2019-03-18, FR</w:t>
      </w:r>
    </w:p>
    <w:p>
      <w:r>
        <w:rPr>
          <w:b/>
        </w:rPr>
        <w:t xml:space="preserve">Quelle: </w:t>
      </w:r>
      <w:r>
        <w:t>https://mcp.opencaselaw.ch/entscheid/bger_6B_199_2019</w:t>
      </w:r>
    </w:p>
    <w:p>
      <w:r>
        <w:t>FR: TF 6B_199/2019 du 18 mars 2019</w:t>
      </w:r>
    </w:p>
    <w:p>
      <w:r>
        <w:t>IT: TF 6B_199/2019 del 18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partie qui saisit le Tribunal fédéral doit avancer les frais présumés de la procédure ( art. 62 al. 1 LTF ). Si elle ne verse pas l'avance requise dans le délai supplémentaire qui lui est fixé à cet effet après un premier non-paiement, son recours est irrecevable ( art. 62 al. 3 LTF ).</w:t>
      </w:r>
    </w:p>
    <w:p>
      <w:r>
        <w:t>En l'espèce, par ordonnance du 7 février 2019, X.________ a été invité à s'acquitter d'une avance de frais de 800 fr. jusqu'au 22 février 2019. L'intéressé ne s'étant pas acquitté de cette avance, un délai supplémentaire non prolongeable, échéant le 8 mars 2019, lui a été imparti par ordonnance du 25 février 2019, avec l'indication des conséquences en cas de non-paiement ( art. 62 al. 3 LTF ). L'avance de frais n'a pas été payée dans le délai supplémentaire imparti, ce qui conduit à l'irrecevabilité du recours ( art. 62 al. 3 LTF ) et doit être constaté dans la procédure prévue par l' art. 108 al. 1 let. a LTF .</w:t>
      </w:r>
    </w:p>
    <w:p>
      <w:r>
        <w:rPr>
          <w:b/>
        </w:rPr>
        <w:t>E. 2</w:t>
      </w:r>
    </w:p>
    <w:p>
      <w:r>
        <w:t>Le recourant succombe. Il supporte les frais de la procédure (art. 65 al. 2 et 66 al. 1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