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6B_199/2017 vom 20. Dezember 2017</w:t>
      </w:r>
    </w:p>
    <w:p>
      <w:r>
        <w:t>Bundesgericht, 2017-12-20, DE</w:t>
      </w:r>
    </w:p>
    <w:p>
      <w:r>
        <w:rPr>
          <w:b/>
        </w:rPr>
        <w:t xml:space="preserve">Quelle: </w:t>
      </w:r>
      <w:r>
        <w:t>https://mcp.opencaselaw.ch/entscheid/bger_6B_199_2017</w:t>
      </w:r>
    </w:p>
    <w:p>
      <w:r>
        <w:t>FR: TF 6B_199/2017 du 20 décembre 2017</w:t>
      </w:r>
    </w:p>
    <w:p>
      <w:r>
        <w:t>IT: TF 6B_199/2017 del 20 dicembre 2017</w:t>
      </w:r>
    </w:p>
    <w:p>
      <w:pPr>
        <w:pStyle w:val="Heading2"/>
      </w:pPr>
      <w:r>
        <w:t>Erwägungen</w:t>
      </w:r>
    </w:p>
    <w:p>
      <w:r>
        <w:rPr>
          <w:b/>
        </w:rPr>
        <w:t>E. 1.1</w:t>
      </w:r>
    </w:p>
    <w:p>
      <w:r>
        <w:t>Der Beschwerdeführer rügt, die Vorinstanz habe die Voraussetzungen von Art. 90 Abs. 2 SVG zu Unrecht bejaht. Er habe durch das Überholen auf dem Pannenstreifen der sich auf allen drei Fahrspuren lediglich im Schritttempo fahrenden Personenwagen keine erhöhte abstrakte Gefährdung von Verkehrsteilnehmern heraufbeschworen. Er habe nicht damit rechnen müssen, dass andere Verkehrsteilnehmer auf den Pannen-/Verzögerungsstreifen wechseln. Zudem habe er das Überholen auf dem Pannenstreifen im konkreten Fall versehentlich für erlaubt erachtet, da auf einigen Autobahnabschnitten in der Schweiz gemäss der aufgestellten Signalisation bei Stau der Pannenstreifen zu befahren sei, um die nächste Ausfahrt zu erreichen.</w:t>
      </w:r>
    </w:p>
    <w:p>
      <w:r>
        <w:rPr>
          <w:b/>
        </w:rPr>
        <w:t>E. 1.2</w:t>
      </w:r>
    </w:p>
    <w:p>
      <w:r>
        <w:t>Die Vorinstanz erwägt, der zu beurteilende Sachverhalt sei praktisch mit demjenigen vom Bundesgericht im Verfahren 6B_227/2015 entschiedenen identisch, bei dem ein Automobilist von der Überholspur auf den Pannenstreifen wechselte und dort mit ca. 40 km/h auf einer Strecke von 150 m rechts an mehreren Fahrzeugen vorbeifuhr, die sich im stockenden Verkehr gestaut hatten. Das Bundesgericht habe die Verurteilung wegen einer groben Verkehrsregelverletzung bestätigt. Es sei zum Schluss gekommen, dass durch den Überholvorgang auf dem Pannenstreifen eine objektiv wichtige Vorschrift des Strassenverkehrsrechts in schwerwiegender Weise verletzt worden sei und Rechtsüberholen auf Autobahnen eine erhöht abstrakte Gefährdung darstelle (angefochtener Entscheid E. 4.2 mit Hinweis auf das Urteil 6B_227/2015 vom 23. Juli 2015 E. 1.3 f.). Das Verhalten des Beschwerdeführers wiege vorliegend objektiv schwerer, da er über eine grössere Distanz rechts auf dem Pannenstreifen überholt habe, wodurch er zweifelsohne eine erhöhte abstrakte Gefahr heraufbeschworen habe.</w:t>
      </w:r>
    </w:p>
    <w:p>
      <w:r>
        <w:rPr>
          <w:b/>
        </w:rPr>
        <w:t>E. 1.3.1</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 BGE 142 IV 93 E. 3.1; 131 IV 133 E. 3.2).</w:t>
      </w:r>
    </w:p>
    <w:p>
      <w:r>
        <w:t>Subjektiv erfordert der Tatbestand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 BGE 142 IV 93 E. 3.1 mit Hinweisen).</w:t>
      </w:r>
    </w:p>
    <w:p>
      <w:r>
        <w:rPr>
          <w:b/>
        </w:rPr>
        <w:t>E. 1.3.2</w:t>
      </w:r>
    </w:p>
    <w:p>
      <w:r>
        <w:t>Gemäss Art. 35 Abs. 1 SVG ist links zu überholen, woraus sich das Verbot des Rechtsüberholens ergibt. Eine Ausnahme vom Verbot des Rechtsüberholens sieht Art. 8 Abs. 3 Satz 1 VRV allgemein und Art. 36 Abs. 5 lit. a VRV für Autobahnen "beim Fahren in parallelen Kolonnen" vor. Gestattet ist, rechts an anderen Fahrzeugen vorbeizufahren (sog. Vorfahren), wenn dies ohne Behinderung des übrigen Verkehrs möglich ist (vgl. Art. 44 Abs. 1 SVG ). Das Rechtsüberholen durch Ausschwenken und Wiedereinbiegen ist auch beim Fahren in parallelen Kolonnen auf Autobahnen ausdrücklich untersagt ( Art. 8 Abs. 3 Satz 2 VRV ; BGE 142 IV 93 E. 3.2 f. mit Hinweisen).</w:t>
      </w:r>
    </w:p>
    <w:p>
      <w:r>
        <w:rPr>
          <w:b/>
        </w:rPr>
        <w:t>E. 1.3.3</w:t>
      </w:r>
    </w:p>
    <w:p>
      <w:r>
        <w:t>Gemäss Art. 36 Abs. 3 VRV darf der Fahrzeugführer Pannenstreifen "nur für Nothalte benützen".</w:t>
      </w:r>
    </w:p>
    <w:p>
      <w:r>
        <w:rPr>
          <w:b/>
        </w:rPr>
        <w:t>E. 1.4</w:t>
      </w:r>
    </w:p>
    <w:p>
      <w:r>
        <w:t>Entgegen den Vorbringen des Beschwerdeführers ist der vorliegend zu beurteilende Sachverhalt (praktisch) identisch mit demjenigen, den das Bundesgericht im Verfahren 6B_227/2015 zu beurteilen hatte. Dass der Beschwerdeführer zuvor nicht die linke Überholspur benutzt, sondern im zähfliessenden Verkehr mitgefahren ist, ist für die rechtliche Qualifikation unerheblich und hat (allenfalls) Auswirkungen auf die Strafzumessung. Auch aus dem Hinweis, dass vor einigen wenigen Autobahnausfahrten die Benutzung des Pannenstreifens bei Stau ausdrücklich als erlaubt ausgeschildert ist, kann der Beschwerdeführer nichts zu seinen Gunsten ableiten. Wäre die Benutzung des Pannenstreifens bei Stau zum Zwecke des Abfahrens von der Autobahn generell erlaubt, bedürfte es keiner besonderen Beschilderung. Dass die Benutzung des Pannenstreifens für den von ihm befahrenen Abschnitt erlaubt gewesen sein soll, behauptet der Beschwerdeführer zu Recht nicht, weshalb nicht nachvollziehbar ist, warum er seine Fahrweise vorliegend für erlaubt gehalten haben könnte.</w:t>
      </w:r>
    </w:p>
    <w:p>
      <w:r>
        <w:t>Warum das Fehlverhahlten des Beschwerdeführers anders als im Fall 6B_227/2015 beurteilt, auf den die Vorinstanz verweist, oder auf die bundesgerichtliche Rechtsprechung zurückgekommen werden müsste, legt der Beschwerdeführer nicht dar. Das Bundesgericht hat in einem jüngeren Grundsatzentscheid nochmals klargestellt, dass das Verbot des Rechtsüberholens eine für die Verkehrssicherheit objektiv wichtige Vorschrift ist, deren Missachtung eine grobe Verletzung von grundlegenden Verkehrsvorschriften darstellt, die eine erhebliche Gefährdung der Verkehrssicherheit mit beträchtlicher Unfallgefahr nach sich zieht, und daher objektiv schwer wiegt ( BGE 142 IV 92 E. 3.2). Die Beachtung elementarer Verkehrsregeln steht nicht situationsbedingt zur Disposition der Verkehrsteilnehmer; vielmehr kommt ihnen insbesondere angesichts des immer stärker werdenden Verkehrsaufkommens eine tragende Funktion zu (vgl. Urteil 6B_227/2015 vom 23. Juli 2015 E. 1.3.3).</w:t>
      </w:r>
    </w:p>
    <w:p>
      <w:r>
        <w:t>Was der Beschwerdeführer gegen die Erfüllung des subjektiven Tatbestandes vorbringt, genügt nicht den Begründungsanforderungen von Art. 42 Abs. 2 und Art. 106 Abs. 2 BGG . Warum er den Pannenstreifen nicht "ohne Not" benutzt haben soll, legt er nicht dar und ist auch nicht ersichtlich.</w:t>
      </w:r>
    </w:p>
    <w:p>
      <w:r>
        <w:rPr>
          <w:b/>
        </w:rPr>
        <w:t>E. 2</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