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6B_197/2020 vom 7. Mai 2020</w:t>
      </w:r>
    </w:p>
    <w:p>
      <w:r>
        <w:t>Bundesgericht, 2020-05-07, FR</w:t>
      </w:r>
    </w:p>
    <w:p>
      <w:r>
        <w:rPr>
          <w:b/>
        </w:rPr>
        <w:t xml:space="preserve">Quelle: </w:t>
      </w:r>
      <w:r>
        <w:t>https://mcp.opencaselaw.ch/entscheid/bger_6B_197_2020</w:t>
      </w:r>
    </w:p>
    <w:p>
      <w:r>
        <w:t>FR: TF 6B_197/2020 du 7 mai 2020</w:t>
      </w:r>
    </w:p>
    <w:p>
      <w:r>
        <w:t>IT: TF 6B_197/2020 del 7 maggio 2020</w:t>
      </w:r>
    </w:p>
    <w:p>
      <w:pPr>
        <w:pStyle w:val="Heading2"/>
      </w:pPr>
      <w:r>
        <w:t>Erwägungen</w:t>
      </w:r>
    </w:p>
    <w:p>
      <w:r>
        <w:rPr>
          <w:b/>
        </w:rPr>
        <w:t>E. 1</w:t>
      </w:r>
    </w:p>
    <w:p>
      <w:r>
        <w:t>La recourante reproche à l'autorité précédente d'avoir violé son droit d'être entendue en refusant d'auditionner D.________.</w:t>
      </w:r>
    </w:p>
    <w:p>
      <w:r>
        <w:rPr>
          <w:b/>
        </w:rPr>
        <w:t>E. 1.1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6B_78/2020 du 1er avril 2020 consid. 1.1; 6B_178/2020 du 20 mars 2020 consid. 1.1).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144 II 427 consid. 3.1.3 p. 435; 141 I 60 consid. 3.3 p. 64).</w:t>
      </w:r>
    </w:p>
    <w:p>
      <w:r>
        <w:rPr>
          <w:b/>
        </w:rPr>
        <w:t>E. 1.2</w:t>
      </w:r>
    </w:p>
    <w:p>
      <w:r>
        <w:t>Le dossier de la cause comprend un courriel du 6 août 2013, adressé par D.________ - ayant droit économique de la société qui détenait le capital-actions de B.________ SA - à E.________, qui était alors administrateur de cette dernière société. D.________ y fait état des discussions conduites autour de la vente du capital-actions de la société concernée. Il y évoque notamment les clients et partenaires de la recourante s'apprêtant à acquérir la société, la compensation devant être perçue par l'intéressée et la conclusion d'une convention avec celle-ci afin de ne pas assumer de responsabilités face aux autres courtiers qui avaient été chargés de l'opération en question (cf. pièce 4/6 du dossier cantonal).</w:t>
      </w:r>
    </w:p>
    <w:p>
      <w:r>
        <w:t>La cour cantonale a exposé que l'audition en question n'était pas nécessaire, dans la mesure où le courriel qui avait été rédigé par D.________ le 6 août 2013 était suffisant pour établir les faits. Contrairement à ce qu'avait soutenu la recourante, ce courriel ne constituait pas le seul élément à sa charge figurant au dossier. Enfin, le témoignage du prénommé n'aurait qu'une valeur probante très faible, compte tenu de ses liens avec la recourante et du rôle qu'il paraissait avoir joué pour éviter le partage de la commission de courtage avec les autres courtiers immobiliers ayant été actifs dans l'opération.</w:t>
      </w:r>
    </w:p>
    <w:p>
      <w:r>
        <w:rPr>
          <w:b/>
        </w:rPr>
        <w:t>E. 1.3</w:t>
      </w:r>
    </w:p>
    <w:p>
      <w:r>
        <w:t>La recourante commence par formuler quelques remarques à propos de la motivation du jugement attaqué, sans présenter, sur ce point, un grief répondant aux exigences des art. 42 al. 2 et 106 al. 2 LTF concernant une éventuelle violation de son droit d'être entendue.</w:t>
      </w:r>
    </w:p>
    <w:p>
      <w:r>
        <w:t>L'essentiel de son argumentation revient à contester l'établissement des faits, soit à critiquer la valeur probante accordée par l'autorité précédente au courriel du 6 août 2013. Il convient ainsi de traiter cette argumentation en lien avec le grief d'arbitraire dans l'établissement des faits (cf. consid. 2 infra). Pour le reste, la recourante ne démontre pas que l'appréciation anticipée de la preuve à laquelle s'est livrée la cour cantonale serait entachée d'arbitraire. Il n'était en particulier pas insoutenable de retenir que D.________ ne pourrait désormais, le cas échéant, contester de manière crédible la réalité des opérations et dissimulations évoquées en toute franchise dans le courriel du 6 août 2013.</w:t>
      </w:r>
    </w:p>
    <w:p>
      <w:r>
        <w:rPr>
          <w:b/>
        </w:rPr>
        <w:t>E. 2</w:t>
      </w:r>
    </w:p>
    <w:p>
      <w:r>
        <w:t>La recourante reproche à l'autorité précédente d'avoir apprécié les preuves et établi les faits de manière arbitraire. Elle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fait sienne l'appréciation des preuves effectuée par le tribunal de première instance concernant le bénéficiaire de la commission de courtage relative à la vente du capital-actions de B.________ SA. Il en ressortait notamment que, dans son courriel du 6 août 2013, D.________ avait évoqué son téléphone avec "Mme A.________", la compensation de "Mme A.________", le "consulting fee" et les instructions de "Mme A.________" quant au fait que la commission due devait être versée directement à une tierce personne "désignée". Les termes "Mme A.________" ne pouvaient désigner que la recourante et non sa mère, nommée "F.________", car les plans de partenariat de l'intéressée avec les acheteurs du capital-actions de B.________ SA avaient été spécifiquement mentionnés. La recourante avait de surcroît rencontré à plusieurs reprises l'acquéreur et participé aux diverses étapes de l'opération - soit aux négociations ou à la signature de l'acte de vente - sans la présence de sa mère. Enfin, dès lors que la recourante avait été liée contractuellement aux autres courtiers travaillant sur la vente, l'évocation d'un potentiel conflit avec ceux-ci par D.________ ne pouvait avoir de sens que si la commission prévue devait échoir à l'intéressée, non à sa mère (cf. jugement du 12 août 2019, p. 16 ss).</w:t>
      </w:r>
    </w:p>
    <w:p>
      <w:r>
        <w:t>Pour le reste, l'autorité précédente a exposé que le courriel de D.________ du 6 août 2013 permettait d'exclure que la mère de la recourante eût fonctionné comme courtière pour la vente en question. Il y était en effet question des clients et partenaires de la recourante, qui allaient acquérir la société, ainsi que de la compensation qui serait perçue par cette dernière. En outre, il avait été établi que la recourante s'était trouvée liée contractuellement aux courtiers immobiliers auxquels la commission perçue avait été dissimulée. Dans le courriel du 6 août 2013, ceux-ci étaient présentés comme "les rongeurs qu'il faut éviter". Il était précisé que, pour ce faire, la recourante ne devait pas apparaître dans les contrats. Ces indications concernaient évidemment la commission de courtage qui devait être versée à la recourante et non aux autres courtiers immobiliers. C'était pour ce motif que les factures de la commission de courtage avaient été établies au nom de la mère de la recourante et les montants versés sur un compte dont cette dernière était titulaire.</w:t>
      </w:r>
    </w:p>
    <w:p>
      <w:r>
        <w:rPr>
          <w:b/>
        </w:rPr>
        <w:t>E. 2.3</w:t>
      </w:r>
    </w:p>
    <w:p>
      <w:r>
        <w:t>La recourante développe une argumentation purement appellatoire et, partant, irrecevable, par laquelle elle oppose sa propre version des événements à celle de la cour cantonale, sans démontrer en quoi l'état de fait ressortant du jugement attaqué serait insoutenable. Au demeurant, cette version des événements - selon laquelle la recourante aurait simplement fonctionné comme interprète dans le cadre de la vente du capital-actions de B.________ SA - repose sur ses seules explications, lesquelles ne sont étayées par aucun élément au dossier mais en revanche contredites par différentes preuves. Il ressort en particulier expressément du courriel du 6 août 2013 que c'est la recourante - non sa mère - qui devait percevoir une commission, cela de manière dissimulée, "de préférence hors Suisse" (cf. pièce 4/6 du dossier cantonal). Le rôle prépondérant joué par la recourante dans l'opération a de surcroît été confirmé par son époux G.________, lequel a expliqué comment tous deux étaient entrés en négociation avec l'acquéreur, sans aucunement faire intervenir sa belle-mère dans ces démarches (cf. PV d'audition du 20 septembre 2017, p. 2 ss). E.________ a, pour sa part, uniquement déclaré que la mère de la recourante avait "recherché des clients en Chine", nullement que celle-ci aurait fonctionné comme courtière dans l'opération (cf. PV d'audition du 22 novembre 2017, p. 4). Enfin, l'existence d'un conflit entre les autres courtiers immobiliers et D.________ ne fait aucunement apparaître comme arbitraire l'état de fait de la cour cantonale.</w:t>
      </w:r>
    </w:p>
    <w:p>
      <w:r>
        <w:t>La recourante ne montre ainsi pas qu'une constatation insoutenable aurait pu être tirée, par la cour cantonale, de l'un ou l'autre des moyens probatoires administrés, ni que l'état de fait serait entaché d'arbitraire.</w:t>
      </w:r>
    </w:p>
    <w:p>
      <w:r>
        <w:rPr>
          <w:b/>
        </w:rPr>
        <w:t>E. 3</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