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6B_196/2017 vom 5. September 2017</w:t>
      </w:r>
    </w:p>
    <w:p>
      <w:r>
        <w:t>Bundesgericht, 2017-09-05, FR</w:t>
      </w:r>
    </w:p>
    <w:p>
      <w:r>
        <w:rPr>
          <w:b/>
        </w:rPr>
        <w:t xml:space="preserve">Quelle: </w:t>
      </w:r>
      <w:r>
        <w:t>https://mcp.opencaselaw.ch/entscheid/bger_6B_196_2017</w:t>
      </w:r>
    </w:p>
    <w:p>
      <w:r>
        <w:t>FR: TF 6B_196/2017 du 5 septembre 2017</w:t>
      </w:r>
    </w:p>
    <w:p>
      <w:r>
        <w:t>IT: TF 6B_196/2017 del 5 settembre 2017</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1.2</w:t>
      </w:r>
    </w:p>
    <w:p>
      <w:r>
        <w:t>En l'espèce, il convient tout d'abord de déterminer si la recourante 3, soit une communauté de propriétaires d'étages, peut émettre des prétentions civiles au sens de l'art. 81 al. 1 let. b ch. 5 LTF.</w:t>
      </w:r>
    </w:p>
    <w:p>
      <w:r>
        <w:t>Aux termes de l' art. 712l CC , la communauté acquiert, en son nom, les avoirs résultant de sa gestion, notamment les contributions des copropriétaires et les disponibilités qui en sont tirées, comme le fonds de rénovation (al. 1). Elle peut, en son nom, actionner ou être actionnée en justice, ainsi que poursuivre et être poursuivie (al. 2). La communauté jouit ainsi d'une autonomie juridique partielle, qui ne lui confère cependant pas la personnalité juridique. Elle peut acquérir des avoirs et dispose ainsi d'un patrimoine découlant de la gestion de la propriété par étages, même si les propriétaires par étages demeurent copropriétaires du patrimoine communautaire. Elle dispose par ailleurs de la capacité pour agir et de la capacité pour ester en justice dans le domaine de l'administration commune ( ATF 142 III 551 consid. 2.2 p. 553 s.; 125 II 348 consid. 2 p. 350 s.; 119 II 404 consid. 5 p. 408). Ainsi, dans la mesure où elle dispose de la capacité pour agir en réparation de son dommage dans le cadre d'une procédure civile, la communauté des propriétaires d'étages doit pouvoir déposer plainte pénale contre l'administrateur ou un tiers ayant porté atteinte à son patrimoine (AMÉDÉO WERMELINGER, Zürcher Kommentar 2010, no 142 ad art. 712l CC ; VALENTIN PICCININ, La propriété par étages en procès, 2015, no 65; JEANNERET/DROZ, La personne morale et l'entreprise en procédure pénale, in La personne morale et l'entreprise en procédure, 2014, p. 88 no 68) et faire valoir des conclusions civiles déduites de l'infraction par adhésion à la procédure pénale conformément à l' art. 122 al. 1 CPP . Tel est notamment le cas si l'administrateur cause un dommage dont il doit répondre envers la communauté des propriétaires d'étages (AMÉDÉO WERMELINGER, La propriété par étages, 3e éd. 2015, no 141 ad art. 712q CC ; WALTER FELLMANN, Der Verwalter und seine zivilrechtliche Verantwortung, in Luzerner Tag des Stockwerkeigentums 2012, p. 138 ss; PICCININ, op. cit., no 293).</w:t>
      </w:r>
    </w:p>
    <w:p>
      <w:r>
        <w:t>Au vu de ce qui précède, la recourante 3 peut émettre des prétentions civiles, au sens de l'art. 81 al. 1 let. b ch. 5 LTF, dans la mesure où celles-si concernent l'administration commune et en particulier les avoirs acquis en son nom dans le cadre de sa gestion.</w:t>
      </w:r>
    </w:p>
    <w:p>
      <w:r>
        <w:rPr>
          <w:b/>
        </w:rPr>
        <w:t>E. 1.3</w:t>
      </w:r>
    </w:p>
    <w:p>
      <w:r>
        <w:t>Les recourantes soutiennent que "les objets traités par leur plainte pénale sont susceptibles d'avoir des conséquences sur d'éventuelles prétentions civiles qu'[elles] pourront émettre dans l'hypothèse d'une reconnaissance de leurs droits en la présente affaire, respectivement d'une condamnation frappant [les intimés], les actes qui leur sont reprochés visant tout particulièrement les finances de [la recourante 3], et par conséquent directement également celles de leurs membres, soit [les recourantes 1 et 2]". Elles ne précisent cependant pas quelles seraient leurs prétentions contre les intimés. Par ailleurs, dès lors que les recourantes reprochent aux intimés plusieurs infractions différentes, il leur incombait de mentionner quel dommage pouvait résulter de chacune d'elles (cf. arrêt 6B_733/2017 du 25 juillet 2017 consid. 2.1 et la référence citée).</w:t>
      </w:r>
    </w:p>
    <w:p>
      <w:r>
        <w:t>Il convient donc d'examiner si l'existence et l'étendue d'éventuelles prétentions civiles peuvent être déduites directement et sans ambiguïté de la motivation du recours.</w:t>
      </w:r>
    </w:p>
    <w:p>
      <w:r>
        <w:rPr>
          <w:b/>
        </w:rPr>
        <w:t>E. 1.4.1</w:t>
      </w:r>
    </w:p>
    <w:p>
      <w:r>
        <w:t>On comprend du mémoire de recours que les recourantes souhaitent obtenir le paiement d'un montant de 50'462 fr. 75, qui aurait, selon elles, constitué le fonds de rénovation de la recourante 3 et dont elles reprochent la disparition aux intimés. On comprend également qu'elles entendent obtenir le paiement d'un montant de 4'609 fr. 80, correspondant aux sommes encaissées par les intimés entre 2005 et 2009 pour l'utilisation de la buanderie par les locataires de la PPE. Dès lors que les montants en question ressortent du patrimoine et de la gestion de la PPE, la recourante 3 peut émettre des prétentions civiles à cet égard et dispose de la qualité pour recourir sur le fond. En revanche, on ignore quelles prétentions civiles pourraient faire valoir les recourantes 1 et 2, dans la mesure où, sur le plan civil, elles ne seraient en principe pas habilitées à entreprendre individuellement une action qui appartiendrait à la communauté (cf. arrêt 4A_364/2007 du 14 mars 2008 consid. 3). La qualité pour recourir sur le fond des recourantes 1 et 2 paraît ainsi douteuse sur ce point. La question peut cependant être laissée ouverte, dès lors que le recours est de toute manière irrecevable (cf. consid. 2.3 et 2.4 infra).</w:t>
      </w:r>
    </w:p>
    <w:p>
      <w:r>
        <w:rPr>
          <w:b/>
        </w:rPr>
        <w:t>E. 1.4.2</w:t>
      </w:r>
    </w:p>
    <w:p>
      <w:r>
        <w:t>Les recourantes soutiennent qu'elles auraient subi un dommage relatif aux bénéfices réalisés par la PPE durant les années où les intimés en assuraient l'administration. On ne voit cependant pas quelles seraient leurs prétentions civiles à cet égard. En particulier, on ignore si les recourantes entendent obtenir le paiement d'un montant correspondant aux bénéfices qui auraient selon elles été - ou dû être - réalisés par la PPE, ou si elles se prévalent du dommage résultant d'éventuels impôts payés à tort au fisc par les recourantes 1 et 2 en raison des indications comptables fournies par les intimés. Il appartenait pourtant aux recourantes de démontrer quels auraient été leurs préjudices respectifs sur ce point. A défaut d'une motivation suffisante à cet égard, la qualité pour recourir sur le fond doit leur être déniée s'agissant des faits en question.</w:t>
      </w:r>
    </w:p>
    <w:p>
      <w:r>
        <w:rPr>
          <w:b/>
        </w:rPr>
        <w:t>E. 1.4.3</w:t>
      </w:r>
    </w:p>
    <w:p>
      <w:r>
        <w:t>On comprend enfin du mémoire de recours que les recourantes souhaitent obtenir le paiement d'un montant correspondant à la baisse mensuelle de loyer de 100 fr. qu'auraient - dès 2012 et à leur insu - accordée les intimés à un locataire. Cette prétention n'est cependant nullement chiffrée. En outre, les recourantes ne précisent pas dans quelle mesure elles pourraient faire valoir un dommage à cet égard. On ignore ainsi à qui et dans quelles proportions revenaient les loyers en question - en particulier si ceux-ci entraient dans le patrimoine de la recourante 3 -, les recourantes indiquant sur ce point que les faits auraient "engendré des pertes locatives pour la [recourante 2], respectivement pour la PPE". Il ressort pourtant du jugement attaqué que les recourantes 1 et 2 étaient copropriétaires du lot en question. En définitive, à défaut d'une motivation conforme aux exigences de l' art. 42 al. 2 LTF , les recourantes doivent se voir dénier la qualité pour recourir sur le fond s'agissant des faits en question.</w:t>
      </w:r>
    </w:p>
    <w:p>
      <w:r>
        <w:rPr>
          <w:b/>
        </w:rPr>
        <w:t>E. 2</w:t>
      </w:r>
    </w:p>
    <w:p>
      <w:r>
        <w:t>Les recourantes soutiennent que la cour cantonale aurait dû renvoyer les intimés en jugement pour abus de confiance ou gestion déloyale, ou qu'elle aurait dû à tout le moins ordonner de nouvelles mesures d'instruction.</w:t>
      </w:r>
    </w:p>
    <w:p>
      <w:r>
        <w:rPr>
          <w:b/>
        </w:rPr>
        <w:t>E. 2.1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Le principe "in dubio pro duriore" découle du principe de la légalité ( art. 5 al. 1 Cst. et art.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arrêt 6B_289/2017 du 24 août 2017 consid. 3.2.1).</w:t>
      </w:r>
    </w:p>
    <w:p>
      <w:r>
        <w:rPr>
          <w:b/>
        </w:rPr>
        <w:t>E. 2.2</w:t>
      </w:r>
    </w:p>
    <w:p>
      <w:r>
        <w:t>L' art. 138 CP réprime le comportement de celui qui, pour se procurer ou procurer à un tiers un enrichissement illégitime, se sera approprié une chose mobilière appartenant à autrui et qui lui avait été confiée (ch. 1 al. 1), ou de celui qui, sans droit, aura employé à son profit ou au profit d'un tiers des valeurs patrimoniales qui lui avaient été confiées (ch. 1 al. 2).</w:t>
      </w:r>
    </w:p>
    <w:p>
      <w:r>
        <w:t>L' art. 158 CP réprime quant à lui le comportement de celui qui,en vertu de la loi, d'un mandat officiel ou d'un acte juridique, est tenu de gérer les intérêts pécuniaires d'autrui ou de veiller sur leur gestion et qui, en violation de ses devoirs, aura porté atteinte à ces intérêts ou aura permis qu'ils soient lésés (ch. 1 al. 1), ou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(ch. 2).</w:t>
      </w:r>
    </w:p>
    <w:p>
      <w:r>
        <w:rPr>
          <w:b/>
        </w:rPr>
        <w:t>E. 2.3</w:t>
      </w:r>
    </w:p>
    <w:p>
      <w:r>
        <w:t>S'agissant du fonds de rénovation, la cour cantonale a retenu qu'un bénéfice de 10'462 fr. 75 pour les années 2004 à 2012 avait été annoncé par l'intimé 3 lors d'une assemblée générale des propriétaires d'étages en 2013. Il avait alors été décidé d'affecter ce montant à un fonds de rénovation. Aucune pièce comptable ou bancaire n'avait été produite au dossier concernant la période postérieure à l'année 2012, de sorte que la situation de la PPE était inconnue depuis l'intervention de D.________ en juin 2013. Un document intitulé "Charges &amp; produits 2013 prévisions" projetait un bénéfice de 20'900 fr. pour l'année en question, sans aucunement préciser si ce chiffre englobait la somme de 10'462 fr. 75 litigieuse. En définitive, rien ne permettait de retenir que le montant en question avait disparu, ni de penser que les intimés en avaient disposé d'une quelconque manière.</w:t>
      </w:r>
    </w:p>
    <w:p>
      <w:r>
        <w:t>Par ailleurs, selon des pièces fournies par les recourantes, deux montants de 20'000 fr. auraient dû être affectés à un fonds de rénovation en 2005 et 2006. Ces sommes ne se retrouvaient cependant pas dans les décomptes complets des années en question, ni dans le document intitulé "décompte C.________" portant sur les années 2005 à 2009. L'intimé 3 avait en outre indiqué, lors d'une séance du 3 décembre 2011, que les charges de la PPE étaient très importantes et empêchaient la création d'un fonds de rénovation. Lors de son audition du 30 juin 2015, F.________ avait pour sa part confirmé qu'aucun fonds de rénovation n'avait pu être constitué car l'argent généré par la PPE était affecté au remboursement des charges et des intérêts. En définitive, rien ne permettait de considérer qu'un montant de 40'000 fr. avait effectivement été affecté à un fonds de rénovation, ni que les intimés auraient pu en disposer.</w:t>
      </w:r>
    </w:p>
    <w:p>
      <w:r>
        <w:t>Les recourantes ne prétendent pas que l'appréciation des preuves à laquelle s'est livrée la cour cantonale serait entachée d'arbitraire. Elles se contentent d'affirmer, comme l'autorité précédente l'a d'ailleurs retenu, qu'il avait été décidé en 2013 d'affecter une somme de 10'462 fr. 75 à un fonds de rénovation. Elles font en outre grief aux autorités pénales de ne pas avoir accompli des "recherches complémentaires" pour déterminer ce qui était advenu de ce montant, sans préciser quelles investigations auraient dû être effectuées. Il en va de même s'agissant de la somme de 40'000 fr., dont les recourantes affirment qu'elle aurait existé au vu de sa mention sur un décompte récapitulatif, sans démontrer en quoi la cour cantonale aurait arbitrairement retenu que la PPE n'avait en réalité jamais dégagé un rendement permettant d'affecter un tel montant à un fonds de rénovation. En définitive, les intéressées n'indiquent pas en quoi l'autorité précédente aurait violé le droit fédéral en considérant qu'aucun indice ne permettait de penser que les intimés avaient pu se rendre coupables d'une infraction d'abus de confiance ou de gestion déloyale concernant les sommes concernées. A défaut d'une motivation conforme aux exigences des art. 42 al. 2 et 106 al. 2 LTF, le grief est irrecevable sur ce point.</w:t>
      </w:r>
    </w:p>
    <w:p>
      <w:r>
        <w:rPr>
          <w:b/>
        </w:rPr>
        <w:t>E. 2.4</w:t>
      </w:r>
    </w:p>
    <w:p>
      <w:r>
        <w:t>S'agissant des montants remis aux intimés par les locataires de la PPE pour l'utilisation de la buanderie, la cour cantonale a retenu, sur la base des quittances signées par l'intimé 3, que ce dernier avait perçu, à ce titre, une somme totale de 5'141 fr. 80 entre le 5 mai 2005 et le 23 décembre 2009. Il ressortait de la comptabilité de la PPE qu'une somme totale de 4'609 fr. 80 avait été créditée sur le compte idoine entre le 24 août 2005 et le 23 décembre 2009. La différence entre les montants perçus et ceux crédités sur le compte de la PPE - soit 523 fr. - pouvait résulter d'erreurs de calculs ou d'écritures de la part de l'intimé 3 ou du concierge qui encaissait les montants auprès des locataires avant de les reverser à celui-ci. Il était également possible que ce montant ait été conservé en liquide par l'intimé 3 puis reversé ultérieurement sur le compte de la PPE ou qu'il ait été utilisé à d'autres fins au profit de la PPE. Quoi qu'il en soit, aucun indice ne permettait de penser qu'une somme avait pu être utilisée indûment par les intimés et que ceux-ci avaient pu se rendre coupables d'une infraction aux art. 138 ou 158 CP .</w:t>
      </w:r>
    </w:p>
    <w:p>
      <w:r>
        <w:t>Les recourantes soutiennent pour leur part que la somme de 4'609 fr. 80, créditée sur le compte de la PPE selon la comptabilité, "ne se trouve[rait] nulle part" et qu'elles auraient le "droit d'obtenir des explications" à cet égard. Ce faisant, elles n'indiquent pas en quoi l'autorité précédente aurait violé le droit fédéral en considérant qu'aucun indice ne permettait de penser que les intimés se fussent emparés de ces montants. Les recourantes se contentent par ailleurs d'affirmer que "des indices sérieux" - dont elles ne précisent pas la nature - indiqueraient que les intimés se seraient rendus coupables d'abus de confiance ou de gestion déloyale. En définitive, elles ne formulent à cet égard aucun grief conforme aux exigences de motivation de l' art. 42 al. 2 LTF .</w:t>
      </w:r>
    </w:p>
    <w:p>
      <w:r>
        <w:rPr>
          <w:b/>
        </w:rPr>
        <w:t>E. 3</w:t>
      </w:r>
    </w:p>
    <w:p>
      <w:r>
        <w:t>Vu le sort du recours, les conclusions des recourantes tendant à la mise des frais à la charge des intimés et à l'octroi d'une indemnité à titre de dépens sont infondées.</w:t>
      </w:r>
    </w:p>
    <w:p>
      <w:r>
        <w:rPr>
          <w:b/>
        </w:rPr>
        <w:t>E. 4</w:t>
      </w:r>
    </w:p>
    <w:p>
      <w:r>
        <w:t>Le recours est irrecevable. Les recourantes, qui succombent, supporteront les frais judiciaires solidairement entre elles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