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6B_194/2016 vom 15. März 2016</w:t>
      </w:r>
    </w:p>
    <w:p>
      <w:r>
        <w:t>Bundesgericht, 2016-03-15, DE</w:t>
      </w:r>
    </w:p>
    <w:p>
      <w:r>
        <w:rPr>
          <w:b/>
        </w:rPr>
        <w:t xml:space="preserve">Quelle: </w:t>
      </w:r>
      <w:r>
        <w:t>https://mcp.opencaselaw.ch/entscheid/bger_6B_194_2016</w:t>
      </w:r>
    </w:p>
    <w:p>
      <w:r>
        <w:t>FR: TF 6B_194/2016 du 15 mars 2016</w:t>
      </w:r>
    </w:p>
    <w:p>
      <w:r>
        <w:t>IT: TF 6B_194/2016 del 15 marzo 2016</w:t>
      </w:r>
    </w:p>
    <w:p>
      <w:pPr>
        <w:pStyle w:val="Heading2"/>
      </w:pPr>
      <w:r>
        <w:t>Erwägungen</w:t>
      </w:r>
    </w:p>
    <w:p>
      <w:r>
        <w:rPr>
          <w:b/>
        </w:rPr>
        <w:t>E. 1</w:t>
      </w:r>
    </w:p>
    <w:p>
      <w:r>
        <w:t>Die Beschwerdeführerin erstattete am 17. Juni 2015 Strafanzeige wegen Drohung und Nötigung gegen zwei Mitarbeiter einer Gesellschaft, welche die Immobilie betreuten, in der die Beschwerdeführerin wohnte. Die Beschuldigten hatten ihr schriftlich mitgeteilt, dass sie die Waschküchenordnung nach wie vor nicht einhalte, und sie gebeten, die Ordnung einzuhalten und die anderen Mieter nicht mehr zu belästigen, ansonsten ihr die Kündigung der Wohnung drohe.</w:t>
      </w:r>
    </w:p>
    <w:p>
      <w:r>
        <w:t>Die Staatsanwaltschaft I des Kantons Zürich nahm die Untersuchung am 7. Dezember 2015 nicht an die Hand. Eine dagegen gerichtete Beschwerde wies das Obergericht des Kantons Zürich am 5. Februar 2016 ab.</w:t>
      </w:r>
    </w:p>
    <w:p>
      <w:r>
        <w:t>Die Beschwerdeführerin wendet sich ans Bundesgericht, ohne einen ausdrücklichen Antrag zu stellen. Es kann davon ausgegangen werden, dass sie eine Verurteilung der Beschuldigten anstrebt.</w:t>
      </w:r>
    </w:p>
    <w:p>
      <w:r>
        <w:rPr>
          <w:b/>
        </w:rPr>
        <w:t>E. 2</w:t>
      </w:r>
    </w:p>
    <w:p>
      <w:r>
        <w:t>Die Privatklägerin ist zur Beschwerde in Strafsachen nur legitimiert,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die Privatklägerin nicht notwendigerweise bereits vor den kantonalen Behörden Zivilansprüche geltend gemacht. Selbst wenn sie bereits adhäsionsweise privatrechtliche Ansprüche geltend gemacht hat, werden in der Einstellungsverfügung keine Zivilklagen behandelt ( Art. 320 Abs. 3 StPO ). In jedem Fall muss sie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t>Die Beschwerdeführerin äussert sich zu ihrer Legitimation nicht. Am Rande macht sie nur geltend, ihre letzten Umzugskosten hätten Fr. 4'000.-- betragen (Beschwerde S. 4). Aus diesem Hinweis ist jedoch nicht ersichtlich, was die letzten Umzugskosten der Beschwerdeführerin mit dem Brief zu tun haben könnten, zumal ihr darin die Kündigung nur angedroht und nicht etwa eine solche ausgesprochen wurde. Da ihre Legitimation nicht dargetan ist, kann auf die Beschwerde im Verfahren nach Art. 108 BGG nicht eingetreten werden.</w:t>
      </w:r>
    </w:p>
    <w:p>
      <w:r>
        <w:rPr>
          <w:b/>
        </w:rPr>
        <w:t>E. 3</w:t>
      </w:r>
    </w:p>
    <w:p>
      <w:r>
        <w:t>Die Gerichtskosten sind der Beschwerdeführerin aufzuerlegen ( Art. 66 Abs. 1 BGG ). Analog zu früheren Urteilen ist ihrer finanziellen Lage bei der Bemessung der Kosten Rechnung zu tragen ( Art. 65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