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193/2024 vom 2. April 2024</w:t>
      </w:r>
    </w:p>
    <w:p>
      <w:r>
        <w:t>Bundesgericht, 2024-04-02, FR</w:t>
      </w:r>
    </w:p>
    <w:p>
      <w:r>
        <w:rPr>
          <w:b/>
        </w:rPr>
        <w:t xml:space="preserve">Quelle: </w:t>
      </w:r>
      <w:r>
        <w:t>https://mcp.opencaselaw.ch/entscheid/bger_6B_193_2024</w:t>
      </w:r>
    </w:p>
    <w:p>
      <w:r>
        <w:t>FR: TF 6B 193/2024 du 2 avril 2024</w:t>
      </w:r>
    </w:p>
    <w:p>
      <w:r>
        <w:t>IT: TF 6B 193/2024 del 2 aprile 2024</w:t>
      </w:r>
    </w:p>
    <w:p>
      <w:pPr>
        <w:pStyle w:val="Heading2"/>
      </w:pPr>
      <w:r>
        <w:t>Regeste</w:t>
      </w:r>
    </w:p>
    <w:p>
      <w:r>
        <w:t>Irrecevabilité du recours en matière pénale, motivation insuffisante (dommages à la propriété d'importance considérable, violence ou menace contre les autorités et les fonctionnaires) | Infractions</w:t>
      </w:r>
    </w:p>
    <w:p>
      <w:pPr>
        <w:pStyle w:val="Heading2"/>
      </w:pPr>
      <w:r>
        <w:t>Erwägungen</w:t>
      </w:r>
    </w:p>
    <w:p>
      <w:r>
        <w:rPr>
          <w:b/>
        </w:rPr>
        <w:t>E. 1</w:t>
      </w:r>
    </w:p>
    <w:p>
      <w:r>
        <w:t>Par arrêt du 25 janvier 2024, la Chambre pénale d'appel et de révision de la Cour de justice genevoise a partiellement admis l'appel formé par A.________ contre le jugement rendu le 23 mai 2023 par le Tribunal de police de la République et canton de Genève et a réformé ledit jugement en ce sens qu'elle a acquitté le prénommé de violence ou menace contre les autorités et les fonctionnaires s'agissant des faits visés sous ch. 1.1.2.1 de l'acte d'accusation, l'a déclaré coupable de dommages à la propriété d'importance considérable et de violence ou menace contre les autorités et les fonctionnaires, l'a condamné à une peine privative de liberté de huit mois, sous déduction de 240 jours de détention avant jugement, a dit que la détention avant jugement de 67 jours subie en trop dans la procédure cantonale sera imputée sur la condamnation prononcée le 24 juillet 2018 par le Ministère public genevois, a ordonné que A.________ soit soumis à un traitement ambulatoire, a suspendu l'exécution de la peine privative de liberté au profit du traitement ambulatoire, a renoncé à ordonner une assistance de probation pendant la durée du traitement ambulatoire, et a ordonné la transmission de son arrêt, du procès-verbal de l'audience d'appel, du rapport d'expertise psychiatrique du 27 octobre 2022 ainsi que du procès-verbal de l'audition de l'experte du 25 novembre 2022 au Service d'application des peines et des mesures (SAPEM) ainsi qu'au Centre ambulatoire de psychiatrie et de psychothérapie intégrées (CAPPI). Elle a condamné A.________ à payer à l'État de Genève 36'372 fr. 97 à titre de réparation du dommage matériel, a ordonné la confiscation et la destruction des objets figurant sous ch. 1 à 3 de l'inventaire n° xxx, a rejeté les conclusions en indemnisation du prénommé, a ordonné le maintien des mesures de substitution ordonnées le 5 décembre 2022 par le tribunal des mesures de contrainte jusqu'à l'entrée en force de l'arrêt cantonal, et a statué sur les frais et dépens de la procédure cantonale.</w:t>
      </w:r>
    </w:p>
    <w:p>
      <w:r>
        <w:rPr>
          <w:b/>
        </w:rPr>
        <w:t>E. 2</w:t>
      </w:r>
    </w:p>
    <w:p>
      <w:r>
        <w:t>A.________ forme un recours en matière pénale au Tribunal fédéral contre l'arrêt du 25 janvier 2024.</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En l'espèce, le recourant ne prend aucune conclusion et se limite à affirmer avoir été le sujet de persécutions répétées de la part d'un " institut public suisse " et de personnes qui, selon lui, seraient " sadiques ", sans autre développement. L'on cherche ainsi en vain dans ses très brèves écritures une critique de l'arrêt attaqué. Faute d'une quelconque motivation, le recours doit être déclaré irrecevable.</w:t>
      </w:r>
    </w:p>
    <w:p>
      <w:r>
        <w:rPr>
          <w:b/>
        </w:rPr>
        <w:t>E. 4</w:t>
      </w:r>
    </w:p>
    <w:p>
      <w:r>
        <w:t>L'irrecevabilité est manifeste, ce qu'il convient de constater dans la procédure prévue par l' art. 108 al. 1 let. b LTF . Il peut exceptionnellement être statué sans frais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