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6B_192/2025 vom 22. Mai 2025</w:t>
      </w:r>
    </w:p>
    <w:p>
      <w:r>
        <w:t>Bundesgericht, 2025-05-22, DE</w:t>
      </w:r>
    </w:p>
    <w:p>
      <w:r>
        <w:rPr>
          <w:b/>
        </w:rPr>
        <w:t xml:space="preserve">Quelle: </w:t>
      </w:r>
      <w:r>
        <w:t>https://mcp.opencaselaw.ch/entscheid/bger_6B_192_2025</w:t>
      </w:r>
    </w:p>
    <w:p>
      <w:r>
        <w:t>FR: TF 6B_192/2025 du 22 mai 2025</w:t>
      </w:r>
    </w:p>
    <w:p>
      <w:r>
        <w:t>IT: TF 6B_192/2025 del 22 maggio 2025</w:t>
      </w:r>
    </w:p>
    <w:p>
      <w:pPr>
        <w:pStyle w:val="Heading2"/>
      </w:pPr>
      <w:r>
        <w:t>Erwägungen</w:t>
      </w:r>
    </w:p>
    <w:p>
      <w:r>
        <w:rPr>
          <w:b/>
        </w:rPr>
        <w:t>E. 1.1</w:t>
      </w:r>
    </w:p>
    <w:p>
      <w:r>
        <w:t>Der Beschwerdeführer wendet sich einzig gegen die Anordnung der Landesverweisung. Es sei in der vorliegenden Konstellation von einem "absoluten Härtefall" auszugehen. Eine Landesverweisung erweise sich als unzumutbar und unverhältnismässig, weshalb darauf zu verzichten sei.</w:t>
      </w:r>
    </w:p>
    <w:p>
      <w:r>
        <w:rPr>
          <w:b/>
        </w:rPr>
        <w:t>E. 1.2</w:t>
      </w:r>
    </w:p>
    <w:p>
      <w:r>
        <w:t>Die Vorinstanz bejaht einen schweren persönlichen Härtefall i.S.v. Art. 66a Abs. 2 StGB , gewichtet die öffentlichen Interessen an einer Landesverweisung in der von ihr vorgenommenen Interessenabwägung jedoch höher als die privaten Interessen des Beschwerdeführers an einem Verbleib in der Schweiz.</w:t>
      </w:r>
    </w:p>
    <w:p>
      <w:r>
        <w:rPr>
          <w:b/>
        </w:rPr>
        <w:t>E. 2.1</w:t>
      </w:r>
    </w:p>
    <w:p>
      <w:r>
        <w:t>Art. 66a Abs. 1 lit. o StGB sieht für Ausländer, die wegen Widerhandlung gegen das Betäubungsmittelgesetz im Sinne von Art. 19 Abs. 2 BetmG verurteilt wurden, unabhängig von der Höhe der Strafe, die obligatorische Landesverweisung für 5-15 Jahre aus der Schweiz vor. Der Beschwerdeführer ist griechischer Staatsangehöriger und wurde wegen Verbrechens gegen das Betäubungsmittelgesetz im Sinne von Art. 19 Abs. 1 lit. c, d und g i.V.m. Art. 19 Abs. 2 lit. a BetmG schuldig gesprochen. Demzufolge sind die Voraussetzungen für eine Landesverweisung gemäss Art. 66a Abs. 1 lit. o StGB grundsätzlich erfüllt.</w:t>
      </w:r>
    </w:p>
    <w:p>
      <w:r>
        <w:rPr>
          <w:b/>
        </w:rPr>
        <w:t>E. 2.2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6B_502/2024 vom 7. Februar 2025 E. 3.2; 6B_1069/2023 vom 21. Januar 2025 E. 2.2.2; 6B_926/2023 vom 13. Januar 2025 E. 5.4.1).</w:t>
      </w:r>
    </w:p>
    <w:p>
      <w:r>
        <w:rPr>
          <w:b/>
        </w:rPr>
        <w:t>E. 2.3</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6B_502/2024 vom 7. Februar 2025 E. 3.2; 6B_1069/2023 vom 21. Januar 2025 E. 2.2.2; 6B_926/2023 vom 13. Januar 2025 E. 5.4.2; je mit Hinweisen).</w:t>
      </w:r>
    </w:p>
    <w:p>
      <w:r>
        <w:rPr>
          <w:b/>
        </w:rPr>
        <w:t>E. 2.4</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 Urteile 6B_502/2024 vom 7. Februar 2025 E. 3.4.1; 6B_926/2023 vom 13. Januar 2025 E. 5.4.3; 6B_549/2024 vom 26. November 2024 E. 3.5.1). 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Urteile 6B_502/2024 vom 7. Februar 2025 E. 3.4.1; 6B_926/2023 vom 13. Januar 2025 E. 5.4.3; 6B_549/2024 vom 26. November 2024 E. 3.5.1).</w:t>
      </w:r>
    </w:p>
    <w:p>
      <w:r>
        <w:rPr>
          <w:b/>
        </w:rPr>
        <w:t>E. 2.5</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rPr>
          <w:b/>
        </w:rPr>
        <w:t>E. 2.6</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dem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6B_502/2024 vom 7. Februar 2025 E. 3.3.1; 6B_1069/2023 vom 21. Januar 2025 E. 2.2.3; 6B_926/2023 vom 13. Januar 2025 E. 5.4.4). Art. 66a StGB ist EMRK-konform auszulegen. Die Interessenabwägung im Rahmen der Härtefallklausel von Art. 66a Abs. 2 StGB hat sich daher an der Verhältnismässigkeitsprüfung nach Art. 8 Ziff. 2 EMRK zu orientieren ( BGE 145 IV 161 E. 3.4; Urteile 6B_502/2024 vom 7. Februar 2025 E. 3.3.1; 6B_1069/2023 vom 21. Januar 2025 E. 2.2.3; 6B_926/2023 vom 13. Januar 2025 E. 5.4.4).</w:t>
      </w:r>
    </w:p>
    <w:p>
      <w:r>
        <w:rPr>
          <w:b/>
        </w:rPr>
        <w:t>E. 2.7</w:t>
      </w:r>
    </w:p>
    <w:p>
      <w:r>
        <w:t>Berührt die Landesverweisung Gewährleistungen von Art. 8 Ziff. 1 EMRK , ist der Eingriff nach Art. 8 Ziff. 2 EMRK zu rechtfertigen ( BGE 146 IV 105 E. 4.2 mit Hinweis auf das Urteil des EGMR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Die Konvention verlangt, dass die individuellen Interessen an der Erteilung beziehungsweise am Erhalt des Anwesenheitsrechts und die öffentlichen Interessen an dessen Verweigerung gegeneinander abgewogen werden ( BGE 142 II 35 E. 6.1; Urteile 6B_502/2024 vom 7. Februar 2025 E. 3.3.2; 6B_1069/2023 vom 21. Januar 2025 E. 2.2.4; 6B_926/2023 vom 13. Januar 2025 E. 5.4.5).</w:t>
      </w:r>
    </w:p>
    <w:p>
      <w:r>
        <w:rPr>
          <w:b/>
        </w:rPr>
        <w:t>E. 2.8</w:t>
      </w:r>
    </w:p>
    <w:p>
      <w:r>
        <w:t>Für die Frage, ob der Eingriff in das Recht auf Achtung des Familienlebens "notwendig" im Sinne von Art. 8 Ziff. 2 EMRK ist, sind nach der Rechtsprechung des EGMR nebst den zuvor erwähnten Kriterien (E. 2.7;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denen der Ehegatte im Heimatland des anderen konfrontiert sein könnte, zu berücksichtigen (vgl. Urteile des EGMR Z. gegen Schweiz vom 22. Dezember 2020, Nr. 6325/15, § 57; I.M. gegen Schweiz vom 9. April 2019, Nr. 23887/16, § 69; Kissiwa Koffi gegen Schweiz vom 15. November 2012, Nr. 38005/07, § 63; Urteile 6B_502/2024 vom 7. Februar 2025 E. 3.3.3; 6B_1069/2023 vom 21. Januar 2025 E. 2.2.4).</w:t>
      </w:r>
    </w:p>
    <w:p>
      <w:r>
        <w:rPr>
          <w:b/>
        </w:rPr>
        <w:t>E. 2.9</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6B_527/2024, 6B_552/2024 vom 20. Februar 2025 E. 6.1.8; 6B_625/2024 vom 12. Dezember 2024 E. 3.1.4; 6B_716/2024 vom 4. Dezember 2024 E. 4.1.4; je mit Hinweisen).</w:t>
      </w:r>
    </w:p>
    <w:p>
      <w:r>
        <w:rPr>
          <w:b/>
        </w:rPr>
        <w:t>E. 3.1</w:t>
      </w:r>
    </w:p>
    <w:p>
      <w:r>
        <w:t>Die Vorinstanz bejaht einen schweren persönlichen Härtefall und geht dabei von folgenden Umständen aus: Der zum Zeitpunkt der vorinstanzlichen Beurteilung 40 Jahre alte Beschwerdeführer mit griechischer Staatsbürgerschaft sei in der Schweiz geboren und aufgewachsen. Die obligatorische Schulzeit habe er in U.________ besucht und im Anschluss eine Lehre als Polymechaniker absolviert. Seit mehr als 16 Jahren arbeite er bei der C.________ AG. Der Beschwerdeführer sei weder verheiratet noch habe er Kinder. Er führe seit 2023 jedoch eine Beziehung mit einer Schweizerin. Angesichts dieser Umstände sei von einem schweren persönlichen Härtefall i.S.v. Art. 66a Abs. 2 StGB auszugehen.</w:t>
      </w:r>
    </w:p>
    <w:p>
      <w:r>
        <w:rPr>
          <w:b/>
        </w:rPr>
        <w:t>E. 3.2</w:t>
      </w:r>
    </w:p>
    <w:p>
      <w:r>
        <w:t>Folgerichtig nimmt die Vorinstanz eine Abwägung zwischen den privaten Interessen des Beschwerdeführers am Verbleib in der Schweiz und den öffentlichen Interessen an der Landesverweisung vor. Sie erwägt zunächst, dass sich der Beschwerdeführer der qualifizierten Widerhandlung gegen das BetmG schuldig gemacht habe. Er habe den Grenzwert für die Qualifikation dabei um mehr als das Zwanzigfache überschritten und dadurch die öffentliche Sicherheit erheblich gefährdet. Die Rechtsprechung zeige sich bei Betäubungsmitteldelinquenz in der Regel streng. Zudem handle es sich beim Beschwerdeführer um einen Wiederholungstäter. So sei er mit Strafbescheid des Untersuchungsamts Altstätten vom 12. Juli 2006 wegen mehrfachen Vergehens gegen das BetmG, Gewaltdarstellungen und Pornografie zu einer bedingten Gefängnisstrafe von drei Monaten verurteilt worden. Er habe damals insbesondere 16 Gramm Kokain vermittelt und weitere 6 Gramm verkauft. Diese Vorstrafe sei zwar mittlerweile aus dem Strafregisterauszug gelöscht, habe aber dennoch in die Interessenabwägung einzufliessen. Die Vorstrafe habe beim Beschwerdeführer keinen Eindruck hinterlassen, denn er sei mit Entscheid des Kreisgerichts Rheintal vom 27. April 2011 wegen Verbrechens gegen das BetmG zu einer bedingten Freiheitsstrafe von 24 Monaten verurteilt worden, weil er von Sommer 2009 bis Herbst 2010 insgesamt wiederum rund 400 Gramm Kokain verkauft habe. Aufgrund dieser Verurteilung habe ihm das Migrationsamt St. Gallen mit Verfügung vom 22. September 2011 den Widerruf seiner Aufenthaltsbewilligung angedroht. Der Beschwerdeführer sei mit den vorliegend zu beurteilenden Straftaten bereits zum dritten Mal einschlägig straffällig geworden. Dies obwohl er zuvor zweimal zu bedingten Freiheitsstrafen verurteilt und explizit auf die nachteiligen Folgen für sein Aufenthaltsrecht hingewiesen worden sei. Dass der Beschwerdeführer nun erneut eine erhebliche Menge an Kokain veräussert habe, spreche für eine erhebliche Rückfallgefahr. Dies gelte umso mehr, weil die an sich geregelten Lebensumstände und sein stabiles Erwerbseinkommen bisher offenbar keinerlei "deliktprotektiven" Einfluss gehabt hätten. Der Beschwerdeführer zeige sodann weder Tateinsicht noch Schuldbewusstsein, wenn er als Grund für die erneute Drogendelinquenz primär angebe, er sei aufgrund eines falschen Kollegenkreises wieder "hineingerutscht". Soweit der Beschwerdeführer sodann aufgrund von Geldproblemen wieder mit dem Handel von Kokain angefangen habe, sei darauf hinzuweisen, dass seine finanziellen Verhältnisse aufgrund der erheblichen Verfahrenskosten sowie der Ersatzforderung, welche der Beschwerdeführer zu tragen habe, auch in Zukunft angespannt bleiben würden, was eine zusätzliche Rückfallgefahr begründe. Diese Rückfallgefahr werde auch nicht durch die Beziehung zu seiner Freundin relativiert, hätten ihn doch seine geregelten Lebensumstände und ein Bewusstsein der möglichen Folgen seines Handelns bisher nicht von Delinquenz abgehalten. In Würdigung dieser Umstände gehe vom Beschwerdeführer eine gegenwärtige und erhebliche Gefahr für die öffentliche Sicherheit und Ordnung aus, weshalb ein grosses öffentliches Interesse an seiner Wegweisung bestehe. Dieses grosse öffentliche Interesse überwiege die privaten Bleibeinteressen des Beschwerdeführers. Angesichts der Freiheitsstrafe von 24 Monaten könne nur bei Vorliegen ausserordentlicher Umstände von einer Landesverweisung abgesehen werden. Solche lägen nicht vor. Der Beschwerdeführer könne sich als griechischer Staatsangehöriger grundsätzlich in allen EU-Staaten niederlassen. Es stehe ihm frei und sei ihm zumutbar, im grenznahen Ausland wie bspw. Österreich Wohnsitz zu nehmen. Damit sei er in Zukunft nur wenige Kilometer von seinem bisherigen Wohnort entfernt und könne seine in der Schweiz lebenden Familienangehörigen ohne grössere Einschränkungen empfangen, wovon der Beschwerdefüher selbst ausgehe. Mit einem Wegzug ins grenznahe Ausland sei deshalb keine die öffentlichen Interessen überwiegende Härte für den Beschwerdeführer verbunden. Darüber hinaus sei dem Beschwerdeführer auch eine Rückkehr nach Griechenland zuzumuten, spreche er doch Griechisch und verfüge dort über Verwandte (insbesondere einen Onkel). Der noch junge und gesunde Beschwerdeführer habe eine Ausbildung und verfüge über "reichlich" Berufserfahrung. Dies eröffne ihm eine Chance auf erfolgreiche Integration im grenznahen Ausland oder in Griechenland. Entsprechend sei nicht davon auszugehen, dass eine Resozialisierung im Zielland geradezu unmöglich oder deutlich schlechter als in der Schweiz möglich sei. Dass der Beschwerdeführer in beruflicher Hinsicht Einschränkungen erfahren werde, habe er durch seine wiederholte Delinquenz im Wissen um die nachteiligen Folgen für sein Aufenthaltsrecht in Kauf genommen. Nach dem Gesagten überwögen die öffentlichen Interessen an der Landesverweisung die privaten Bleibeinteressen des Beschwerdeführers klar.</w:t>
      </w:r>
    </w:p>
    <w:p>
      <w:r>
        <w:rPr>
          <w:b/>
        </w:rPr>
        <w:t>E. 3.3</w:t>
      </w:r>
    </w:p>
    <w:p>
      <w:r>
        <w:t>Die Vorinstanz erwägt schliesslich, dass auch das FZA einer Landesverweisung des Beschwerdeführers nicht entgegenstehe. Es sei von einer hinreichenden Wahrscheinlichkeit auszugehen, dass es auch künftig wieder zu Delikten durch den Beschwerdeführer insbesondere im Bereich des Betäubungsmittelhandels komme. Von ihm gehe deshalb eine schwere und gegenwärtige Gefährdung der öffentlichen Ordnung aus, die eine Landesverweisung auch unter dem Blickwinkel des FZA rechtfertige.</w:t>
      </w:r>
    </w:p>
    <w:p>
      <w:r>
        <w:rPr>
          <w:b/>
        </w:rPr>
        <w:t>E. 4</w:t>
      </w:r>
    </w:p>
    <w:p>
      <w:r>
        <w:t>Was der Beschwerdeführer dagegen vorbringt, führt nicht dazu, dass von einer Landesverweisung abzusehen wäre.</w:t>
      </w:r>
    </w:p>
    <w:p>
      <w:r>
        <w:rPr>
          <w:b/>
        </w:rPr>
        <w:t>E. 4.1</w:t>
      </w:r>
    </w:p>
    <w:p>
      <w:r>
        <w:t>Die Vorinstanz übersieht nicht, dass der Beschwerdeführer in der Schweiz geboren und aufgewachsen ist und hier sein gesamtes Leben verbracht hat. Sie geht gestützt darauf richtigerweise davon aus, die Landesverweisung würde bei ihm einen schweren persönlichen Härtefall bewirken. Die Vorinstanz legt in der Folge jedoch ausführlich und nachvollziehbar dar, dass die (angesichts der erheblichen Kokainmenge und der mehrfachen Rückfälligkeit) grossen öffentlichen Interessen die privaten überwiegen (E. 3.2 oben).</w:t>
      </w:r>
    </w:p>
    <w:p>
      <w:r>
        <w:rPr>
          <w:b/>
        </w:rPr>
        <w:t>E. 4.2</w:t>
      </w:r>
    </w:p>
    <w:p>
      <w:r>
        <w:t>Soweit sich der Beschwerdeführer im Rahmen der Interessenabwägung auf seine Beziehung zu seinen Eltern, Geschwistern und weiteren Verwandten beruft, ist festzuhalten, dass diese Personen nicht zu seiner Kernfamilie zählen. Hierzu genügt nicht, dass der Beschwerdeführer zu einem früheren Zeitpunkt einmal mit seinen Eltern zusammengewohnt und diese finanziell unterstützt haben will. Ebenso wenig gehört dessen Bruder zum von Art. 8 Ziff. 1 EMRK geschützten Familienkreis, nur weil dieser seit längerem beim selben Arbeitgeber tätig ist, wie der Beschwerdeführer. Der Beschwerdeführer ist unverheiratet und kinderlos. Dass er seit 2023 und damit erst seit kurzer Zeit in einer Partnerschaft mit einer Schweizerin ist, stellt keinen aussergewöhnlichen Umstand dar, der ausnahmsweise zum Verzicht auf die Landesverweisung führen würde.</w:t>
      </w:r>
    </w:p>
    <w:p>
      <w:r>
        <w:rPr>
          <w:b/>
        </w:rPr>
        <w:t>E. 4.3</w:t>
      </w:r>
    </w:p>
    <w:p>
      <w:r>
        <w:t>Ebenso wenig kann dem Beschwerdeführer gefolgt werden, wenn er sich auf seine Beziehung beruft und eine "positive Persönlichkeitsentwicklung" geltend macht, weil ihm die "nun sichere und geordnete Lebenssituation" eine Zukunftsperspektive gebe, die ihm in der Vergangenheit gefehlt habe. Die Vorinstanz stellt keine positive Persönlichkeitsentwicklung fest, sondern geht vielmehr davon aus, der Beschwerdeführer habe sich wenig einsichtig oder schuldbewusst gezeigt. Eine ernsthafte Auseinandersetzung mit den Taten und deren Konsequenzen habe offenbar nicht stattgefunden. Die Vorinstanz erwägt weiter, der Beschwerdeführer lebe schon seit langer Zeit in stabilen Verhältnissen, was ihn jedoch nicht vor der Begehung qualifizierter Widerhandlungen gegen das BetmG abgehalten habe. Es ist nicht zu beanstanden, dass die Vorinstanz bei dieser Ausgangslage davon ausgeht, auch die neue Partnerschaft vermöge die erhebliche Rückfallgefahr nicht zu bannen. Der Beschwerdeführer bringt nichts vor, was eine andere Beurteilung nahelegen würde.</w:t>
      </w:r>
    </w:p>
    <w:p>
      <w:r>
        <w:rPr>
          <w:b/>
        </w:rPr>
        <w:t>E. 4.4.1</w:t>
      </w:r>
    </w:p>
    <w:p>
      <w:r>
        <w:t>Der Beschwerdeführer wendet schliesslich ein, die Vorinstanz dürfe die Verhältnismässigkeitsprüfung nicht mit dem Argument "aufweichen", er könne schlicht ins Nachbarland gehen, weshalb die Landesverweisung keine besondere Härte darstelle. Ein zwangsweiser Wegzug ins Nachbarland könne nicht mit einem einfachen Umzug innerhalb der Schweiz verglichen werden. Insbesondere werde dadurch seine berufliche Integration zunichte gemacht. Sodann könne die angeblich von ihm ausgehende Gefahr offenkundig nicht dadurch gebannt werden, dass er an einen von seinem Wohnort bloss sieben Kilometer entfernten Ort im Nachbarland ziehe, zumal zwischen dem Kanton St. Gallen und dem österreichischen Vorarlberg kaum Grenzkontrollen durchgeführt würden. Damit erfülle die Landesverweisung ihren Zweck von vornherein nicht und sei damit unverhältnismässig.</w:t>
      </w:r>
    </w:p>
    <w:p>
      <w:r>
        <w:rPr>
          <w:b/>
        </w:rPr>
        <w:t>E. 4.4.2</w:t>
      </w:r>
    </w:p>
    <w:p>
      <w:r>
        <w:t>Auch hier kann dem Beschwerdeführer nicht gefolgt werden. Es liegt in der Natur des Schengen-Raums, dass ihm eine (illegale) Wiedereinreise in die Schweiz auch nach einer Landesverweisung faktisch möglich sein könnte. Dies ändert nichts an der grundsätzlichen Zweckmässigkeit der Landesverweisung, zumal sich der Beschwerdeführer durch erneute Einreise während der Dauer der Landesverweisung einer Strafbarkeit gemäss Art. 291 Abs. 1 StGB aussetzen würde. Er kann sich während dieser Zeit nicht legal in der Schweiz aufhalten. Dadurch wird die öffentliche Sicherheit innerhalb der Schweiz gewährleistet.</w:t>
      </w:r>
    </w:p>
    <w:p>
      <w:r>
        <w:rPr>
          <w:b/>
        </w:rPr>
        <w:t>E. 4.4.3</w:t>
      </w:r>
    </w:p>
    <w:p>
      <w:r>
        <w:t>Nicht zu beanstanden ist ferner, dass die Vorinstanz bei der Interessenabwägung berücksichtigt, dass sich der Beschwerdeführer im grenznahen Ausland niederlassen kann und dies auch zu tun beabsichtigt. Sie verkennt nicht, dass die Landesverweisung für ihn einen schweren Eingriff in die bisherigen Lebensumstände darstellt. Richtigerweise berücksichtigt sie jedoch, dass er durch Wohnsitznahme im grenznahen Ausland (z.B. Österreich) die Beziehung zu seiner Familie und zur Partnerin durch den Empfang von Besuchen aufrechterhalten und ansonsten auf moderne Kommunikationsmittel zurückgreifen kann. Die mit der Landesverweisung verbundenen "sozialen, psychologischen und praktischen Herausforderungen", auf die sich der Beschwerdeführer beruft, sind deshalb nicht dermassen ausgeprägt, dass sie die öffentlichen Interessen an der Landesverweisung überwögen. Schliesslich ist mit der Vorinstanz davon auszugehen, dass dem Beschwerdeführer aufgrund seiner Berufsausbildung und -erfahrung sowie seinen Griechisch-Kenntnissen auch eine Wiedereingliederung in Griechenland zuzumuten ist, auch wenn diese mit gewissen Schwierigkeiten verbunden wäre.</w:t>
      </w:r>
    </w:p>
    <w:p>
      <w:r>
        <w:rPr>
          <w:b/>
        </w:rPr>
        <w:t>E. 4.5</w:t>
      </w:r>
    </w:p>
    <w:p>
      <w:r>
        <w:t>Die Landesverweisung erweist sich zusammenfassend als verhältnismässig und damit als bundes- und völkerrechtskonform. Der Beschwerdeführer äussert sich weder zum FZA noch zur Dauer der Landesverweisung, womit sich weitere Ausführungen erübrigen.</w:t>
      </w:r>
    </w:p>
    <w:p>
      <w:r>
        <w:rPr>
          <w:b/>
        </w:rPr>
        <w:t>E. 5</w:t>
      </w:r>
    </w:p>
    <w:p>
      <w:r>
        <w:t>Die Beschwerde ist abzuweisen.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