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6B_192/2010 vom 4. März 2010</w:t>
      </w:r>
    </w:p>
    <w:p>
      <w:r>
        <w:t>Bundesgericht, 2010-03-04, FR</w:t>
      </w:r>
    </w:p>
    <w:p>
      <w:r>
        <w:rPr>
          <w:b/>
        </w:rPr>
        <w:t xml:space="preserve">Quelle: </w:t>
      </w:r>
      <w:r>
        <w:t>https://mcp.opencaselaw.ch/entscheid/bger_6B_192_2010</w:t>
      </w:r>
    </w:p>
    <w:p>
      <w:r>
        <w:t>FR: TF 6B_192/2010 du 4 mars 2010</w:t>
      </w:r>
    </w:p>
    <w:p>
      <w:r>
        <w:t>IT: TF 6B_192/2010 del 4 marzo 2010</w:t>
      </w:r>
    </w:p>
    <w:p>
      <w:pPr>
        <w:pStyle w:val="Heading2"/>
      </w:pPr>
      <w:r>
        <w:t>Erwägungen</w:t>
      </w:r>
    </w:p>
    <w:p>
      <w:r>
        <w:rPr>
          <w:b/>
        </w:rPr>
        <w:t>E. 1</w:t>
      </w:r>
    </w:p>
    <w:p>
      <w:r>
        <w:t>Le Tribunal fédéral est incompétent pour ordonner la jonction de causes pendantes devant les autorités cantonales ou pour relever un avocat de sa mission de conseil d'office en procédure cantonale. En la matière, il peut seulement connaître de recours dirigés contre des décisions cantonales. Les conclusions du recourant qui tendent à la jonction de causes et à la révocation de son conseil d'office cantonal sont dès lors irrecevables ( art. 30 al. 1 LTF ).</w:t>
      </w:r>
    </w:p>
    <w:p>
      <w:r>
        <w:rPr>
          <w:b/>
        </w:rPr>
        <w:t>E. 2</w:t>
      </w:r>
    </w:p>
    <w:p>
      <w:r>
        <w:t>Lorsqu'il a pour objet une décision cantonale, le recours au Tribunal fédéral n'est recevable que si celle-ci a été rendue par l'autorité cantonale de dernière instance (cf. art. 80 al. 1 LTF ). Dans la mesure où il vise la décision sur frais prise dans une ordonnance de non-lieu du 21 décembre 2009, qui pouvait être déférée au Tribunal d'accusation cantonal ( art. 294 CPP /VD), le présent recours est dès lors irrecevable.</w:t>
      </w:r>
    </w:p>
    <w:p>
      <w:r>
        <w:rPr>
          <w:b/>
        </w:rPr>
        <w:t>E. 3</w:t>
      </w:r>
    </w:p>
    <w:p>
      <w:r>
        <w:t>En vertu de l' art. 42 al. 1 et 2 LTF , le recourant doit, à peine d'irrecevabilité ( art. 108 al. 1 let. b LTF ), motiver son recours en exposant succinctement en quoi la décision attaquée viole le droit, au sens des art. 95 et 96 LTF .</w:t>
      </w:r>
    </w:p>
    <w:p>
      <w:r>
        <w:t>En l'espèce, l'arrêt du Tribunal d'accusation du 4 février 2010 déclare irrecevable le recours cantonal au motif que l'ordonnance de non-lieu, expédiée le 29 juillet 2009 pour notification aux parties, ne peut pas être parvenue au recourant après le 26 décembre 2009, de sorte que le recours cantonal, déposé à la poste le 6 janvier 2010, est tardif. Le recourant, qui argumente exclusivement sur le fond, n'indique pas en quoi, selon lui, ce raisonnement de la cour cantonale sur l'irrecevabilité serait arbitraire. Dans la mesure où il tend à l'annulation de l'arrêt du 4 février 2010, son recours fédéral ne satisfait dès lors pas aux exigences de motivation de l' art. 42 LTF .</w:t>
      </w:r>
    </w:p>
    <w:p>
      <w:r>
        <w:t>Le recours de X.________ doit ainsi être écarté en application de l' art. 108 al. 1 let. a et b LTF .</w:t>
      </w:r>
    </w:p>
    <w:p>
      <w:r>
        <w:rPr>
          <w:b/>
        </w:rPr>
        <w:t>E. 4</w:t>
      </w:r>
    </w:p>
    <w:p>
      <w:r>
        <w:t>Comme ses conclusions sont par ailleurs vouées à l'échec, la tardiveté de son recours cantonal étant manifeste, le recourant doit être débouté de sa demande d'assistance judiciaire ( art. 64 al. 1 LTF ) et supporter les frais de justice ( art. 66 al. 1 LTF ), qui seront réduits à 500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