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6B_191/2025 vom 24. Februar 2025</w:t>
      </w:r>
    </w:p>
    <w:p>
      <w:r>
        <w:t>Bundesgericht, 2025-02-24, DE</w:t>
      </w:r>
    </w:p>
    <w:p>
      <w:r>
        <w:rPr>
          <w:b/>
        </w:rPr>
        <w:t xml:space="preserve">Quelle: </w:t>
      </w:r>
      <w:r>
        <w:t>https://mcp.opencaselaw.ch/entscheid/bger_6B_191_2025</w:t>
      </w:r>
    </w:p>
    <w:p>
      <w:r>
        <w:t>FR: TF 6B_191/2025 du 24 février 2025</w:t>
      </w:r>
    </w:p>
    <w:p>
      <w:r>
        <w:t>IT: TF 6B_191/2025 del 24 febbraio 2025</w:t>
      </w:r>
    </w:p>
    <w:p>
      <w:pPr>
        <w:pStyle w:val="Heading2"/>
      </w:pPr>
      <w:r>
        <w:t>Erwägungen</w:t>
      </w:r>
    </w:p>
    <w:p>
      <w:r>
        <w:rPr>
          <w:b/>
        </w:rPr>
        <w:t>E. 1</w:t>
      </w:r>
    </w:p>
    <w:p>
      <w:r>
        <w:t>Die Staats- und Jugendanwaltschaft des Kantons Glarus bestrafte A.________ mit Strafbefehl vom 6. Februar 2025 wegen Nichtabgabe von Ausweisen und/oder Kontrollschildern mit einer bedingten Geldstrafe von 10 Tagessätzen zu je Fr. 30.-- und mit einer Busse von Fr. 500.--. Mit Schreiben vom 17. Februar 2025 teilte die Staatsanwaltschaft A.________ mit, den Strafbefehl vom 6. Februar 2025 mit eingeschriebener Post zuzustellen versucht, die Sendung jedoch mit dem Vermerk "nicht abgeholt" zurückerhalten zu haben. Die Zustellung gelte am siebten Tag nach dem erfolglosen Zustellungsversuch als erfolgt. Die Rechtsmittelfrist laufe ab diesem Datum. Mit dieser Zustellung werde der Fristenlauf weder unterbrochen noch beginne er von neuem. Mit Eingabe vom 20. Februar 2025 wendet sich A.________ gegen den fraglichen Strafbefehl bzw. namentlich gegen dessen Zustellung an das Bundesgericht. Der Strafbefehl vom 6. Februar 2025 ist nicht letztinstanzlich ( Art. 80 Abs. 1 BGG ). Dagegen ist gemäss dessen Rechtsmittelbelehrung Einsprache bei der Staats- und Jugendanwaltschaft des Kantons Glarus zu erheben. Auf die Eingabe an das Bundesgericht ist daher in Anwendung von Art. 80 Abs. 1 BGG im Verfahren nach Art. 108 BGG nicht einzutreten. Zugleich ist die Sache gestützt auf Art. 30 Abs. 2 BGG zuständigkeitshalber an die Staats- und Jugendanwaltschaft des Kantons Glarus zu überweisen.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