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6B_191/2018 vom 24. April 2018</w:t>
      </w:r>
    </w:p>
    <w:p>
      <w:r>
        <w:t>Bundesgericht, 2018-04-24, FR</w:t>
      </w:r>
    </w:p>
    <w:p>
      <w:r>
        <w:rPr>
          <w:b/>
        </w:rPr>
        <w:t xml:space="preserve">Quelle: </w:t>
      </w:r>
      <w:r>
        <w:t>https://mcp.opencaselaw.ch/entscheid/bger_6B_191_2018</w:t>
      </w:r>
    </w:p>
    <w:p>
      <w:r>
        <w:t>FR: TF 6B_191/2018 du 24 avril 2018</w:t>
      </w:r>
    </w:p>
    <w:p>
      <w:r>
        <w:t>IT: TF 6B_191/2018 del 24 aprile 2018</w:t>
      </w:r>
    </w:p>
    <w:p>
      <w:pPr>
        <w:pStyle w:val="Heading2"/>
      </w:pPr>
      <w:r>
        <w:t>Erwägungen</w:t>
      </w:r>
    </w:p>
    <w:p>
      <w:r>
        <w:rPr>
          <w:b/>
        </w:rPr>
        <w:t>E. 1</w:t>
      </w:r>
    </w:p>
    <w:p>
      <w:r>
        <w:t>Par arrêt du 31 janvier 2018, la Chambre pénale de recours de la Cour de justice genevoise a rejeté le recours de A.________ contre l'ordonnance de classement rendue le 27 mars 2017 sur sa plainte contre plusieurs médecins de l'Hôpital B.________ pour mise en danger de la vie d'autrui et lésions corporelles graves par négligence au motif que son fils avait été victime d'une réaction allergique à une substance anesthésique et que, ce nonobstant, une seconde anesthésie générale avait été pratiquée sur l'enfant.</w:t>
      </w:r>
    </w:p>
    <w:p>
      <w:r>
        <w:rPr>
          <w:b/>
        </w:rPr>
        <w:t>E. 2</w:t>
      </w:r>
    </w:p>
    <w:p>
      <w:r>
        <w:t>Conformément à l' art. 54 al. 1 LTF , le présent arrêt est rendu en français, langue de l'arrêt attaqué, même si le recours a été libellé en italien, comme l'autorise l' art. 42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La recourante ne se détermine nullement sur un éventuel tort moral ou dommage, ni sur leur principe ni sur leur quotité. En particulier, elle n'explique pas en quoi elle disposerait de prétentions fondées sur le droit civil, d'éventuelles prétentions reposant sur le droit public à raison de la responsabilité d'agents de l'Etat n'entrant pas dans cette catégorie (cf. art. 2 de la loi genevoise du 24 février 1989 sur la responsabilité de l'Etat et des communes [RS/GE A 2 40]). L'absence d'explications sur la question des prétentions civiles exclut sa qualité pour recourir sur le fond de la cause.</w:t>
      </w:r>
    </w:p>
    <w:p>
      <w:r>
        <w:rPr>
          <w:b/>
        </w:rPr>
        <w:t>E. 3.2</w:t>
      </w:r>
    </w:p>
    <w:p>
      <w:r>
        <w:t>L'hypothèse visée à l'art. 81 al. 1 let. b ch. 6 LTF n'entre pas en considération, la recourante ne soulevant aucun grief recevable quant à son droit de porter plainte (cf. art 42 al. 2 et 106 al. 2 LTF).</w:t>
      </w:r>
    </w:p>
    <w:p>
      <w:r>
        <w:rPr>
          <w:b/>
        </w:rPr>
        <w:t>E. 3.3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Dans la mesure où la recourante reproche à la juridiction cantonale de n'avoir pas pris en considération les documents prouvant qu'elle n'avait pas consenti à la seconde anesthésie générale pratiquée sur son fils, elle ne soutient pas avoir été exclue de l'administration des preuves mais conteste l'appréciation de celles-ci par la juridiction cantonale. Ce faisant, elle invoque la violation de son droit d'être entendue sous l'angle de l'administration des preuves opérée par la juridiction cantonale, soit une critique qui est irrecevable à défaut d'être séparée du fond.</w:t>
      </w:r>
    </w:p>
    <w:p>
      <w:r>
        <w:rPr>
          <w:b/>
        </w:rPr>
        <w:t>E. 4</w:t>
      </w:r>
    </w:p>
    <w:p>
      <w:r>
        <w:t>Sur le vu de ce qui précède, le recours doit être déclaré irrecevable selon la procédure simplifiée prévue par l' art. 108 al. 1 let. a et b LTF . Comme les conclusions de celui-ci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