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190/2024 vom 15. April 2024</w:t>
      </w:r>
    </w:p>
    <w:p>
      <w:r>
        <w:t>Bundesgericht, 2024-04-15, FR</w:t>
      </w:r>
    </w:p>
    <w:p>
      <w:r>
        <w:rPr>
          <w:b/>
        </w:rPr>
        <w:t xml:space="preserve">Quelle: </w:t>
      </w:r>
      <w:r>
        <w:t>https://mcp.opencaselaw.ch/entscheid/bger_6B_190_2024</w:t>
      </w:r>
    </w:p>
    <w:p>
      <w:r>
        <w:t>FR: TF 6B 190/2024 du 15 avril 2024</w:t>
      </w:r>
    </w:p>
    <w:p>
      <w:r>
        <w:t>IT: TF 6B 190/2024 del 15 aprile 2024</w:t>
      </w:r>
    </w:p>
    <w:p>
      <w:pPr>
        <w:pStyle w:val="Heading2"/>
      </w:pPr>
      <w:r>
        <w:t>Regeste</w:t>
      </w:r>
    </w:p>
    <w:p>
      <w:r>
        <w:t>Irrecevabilité formelle du recours en matière pénale; motivation insuffisante (expulsion)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29 février 2024, remis à la poste le 4 mars suivant, A.________ recourt en matière pénale contre un jugement sur appel du 17 janvier 2024 par lequel la 2e Chambre pénale de la Cour suprême du canton de Berne a notamment prononcé l'expulsion de l'intéressé de Suisse pour une durée de 5 ans, avec inscription dans le Système d'information Schengen.</w:t>
      </w:r>
    </w:p>
    <w:p>
      <w:r>
        <w:rPr>
          <w:b/>
        </w:rPr>
        <w:t>E. 2</w:t>
      </w:r>
    </w:p>
    <w:p>
      <w:r>
        <w:t>En vertu de l' art. 42 al. 1 LTF , les mémoires de recours doivent être motivés. Selon l' art. 42 al. 2 LTF , les motifs doivent exposer succinctement en quoi l'acte attaqué viole le droit. Pour satisfaire à cette exigence, il appartient au recourant de discuter au moins brièvement les considérants de la décision litigieuse et d'expliquer en quoi ceux-ci seraient contraires au droit ( ATF 146 IV 297 consid. 1.2; 142 I 99 consid. 1.7.1; 140 III 86 consid. 2). En outre, les griefs de violation des droits fondamentaux (l'interdiction de l'arbitraire en particulier; art. 9 Cst. ) sont soumis à des exigences de motivation accrues ( art. 106 al. 2 LTF ), le recourant devant alors citer les principes constitutionnels qui n'auraient pas été respectés et expliquer de manière claire et précise en quoi ces principes auraient été violés ( ATF 146 I 62 consid. 3).</w:t>
      </w:r>
    </w:p>
    <w:p>
      <w:r>
        <w:rPr>
          <w:b/>
        </w:rPr>
        <w:t>E. 3</w:t>
      </w:r>
    </w:p>
    <w:p>
      <w:r>
        <w:t>En l'espèce, on recherche en vain dans la brève écriture de recours, au fil de laquelle le recourant discute librement les faits et se borne à requérir une appréciation plus favorable de sa situation, toute considération répondant aux exigences de motivation minimales ou accrues précitées.</w:t>
      </w:r>
    </w:p>
    <w:p>
      <w:r>
        <w:rPr>
          <w:b/>
        </w:rPr>
        <w:t>E. 4</w:t>
      </w:r>
    </w:p>
    <w:p>
      <w:r>
        <w:t>La motivation du recours est manifestement insuffisante, ce qu'il y a lieu de constater dans la procédure prévue par l' art. 108 let. b LTF . Le recourant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