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6B_190/2017 vom 8. Februar 2017</w:t>
      </w:r>
    </w:p>
    <w:p>
      <w:r>
        <w:t>Bundesgericht, 2017-02-08, DE</w:t>
      </w:r>
    </w:p>
    <w:p>
      <w:r>
        <w:rPr>
          <w:b/>
        </w:rPr>
        <w:t xml:space="preserve">Quelle: </w:t>
      </w:r>
      <w:r>
        <w:t>https://mcp.opencaselaw.ch/entscheid/bger_6B_190_2017</w:t>
      </w:r>
    </w:p>
    <w:p>
      <w:r>
        <w:t>FR: TF 6B_190/2017 du 8 février 2017</w:t>
      </w:r>
    </w:p>
    <w:p>
      <w:r>
        <w:t>IT: TF 6B_190/2017 del 8 febbraio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Eine Beschwerde in Strafsachen ist innert 30 Tagen nach der Eröffnung der vollständigen Ausfertigung des angefochtenen Entscheids beim Bundesgericht einzureichen ( Art. 100 Abs. 1 BGG ).</w:t>
      </w:r>
    </w:p>
    <w:p>
      <w:r>
        <w:rPr>
          <w:b/>
        </w:rPr>
        <w:t>E. 2</w:t>
      </w:r>
    </w:p>
    <w:p>
      <w:r>
        <w:t>Der vorinstanzliche Entscheid wurde am 24. Dezember 2016 zugestellt. Die Beschwerdefrist begann unter Berücksichtigung von Art. 46 Abs. 1 lit. c BGG am 3. Januar 2017 zu laufen und endete am 1. Februar 2017. Die erst am 3. Februar 2017 der Post übergebene Beschwerde ist verspätet (vgl. Art. 48 Abs. 1 BGG ).</w:t>
      </w:r>
    </w:p>
    <w:p>
      <w:r>
        <w:rPr>
          <w:b/>
        </w:rPr>
        <w:t>E. 3</w:t>
      </w:r>
    </w:p>
    <w:p>
      <w:r>
        <w:t>Auf die Beschwerde ist im Verfahren nach Art. 108 BGG nicht einzutreten. Die Gerichtskosten sind dem Beschwerdeführer aufzuerlegen ( Art. 66 Abs. 1 BGG ). Seiner finanziellen Lage ist bei der Bemessung der Gerichtskosten Rechnung zu tragen ( Art. 65 Abs. 2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