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18/2020 vom 20. April 2020</w:t>
      </w:r>
    </w:p>
    <w:p>
      <w:r>
        <w:t>Bundesgericht, 2020-04-20, FR</w:t>
      </w:r>
    </w:p>
    <w:p>
      <w:r>
        <w:rPr>
          <w:b/>
        </w:rPr>
        <w:t xml:space="preserve">Quelle: </w:t>
      </w:r>
      <w:r>
        <w:t>https://mcp.opencaselaw.ch/entscheid/bger_6B_18_2020</w:t>
      </w:r>
    </w:p>
    <w:p>
      <w:r>
        <w:t>FR: TF 6B 18/2020 du 20 avril 2020</w:t>
      </w:r>
    </w:p>
    <w:p>
      <w:r>
        <w:t>IT: TF 6B 18/2020 del 20 aprile 2020</w:t>
      </w:r>
    </w:p>
    <w:p>
      <w:pPr>
        <w:pStyle w:val="Heading2"/>
      </w:pPr>
      <w:r>
        <w:t>Regeste</w:t>
      </w:r>
    </w:p>
    <w:p>
      <w:r>
        <w:t>Refus de la libération conditionnelle ; arbitraire | Exécution des peines et des mesures</w:t>
      </w:r>
    </w:p>
    <w:p>
      <w:pPr>
        <w:pStyle w:val="Heading2"/>
      </w:pPr>
      <w:r>
        <w:t>Erwägungen</w:t>
      </w:r>
    </w:p>
    <w:p>
      <w:r>
        <w:rPr>
          <w:b/>
        </w:rPr>
        <w:t>E. 1</w:t>
      </w:r>
    </w:p>
    <w:p>
      <w:r>
        <w:t>Le recourant reproche à la cour cantonale d'avoir confirmé le refus de la libération conditionnelle en violation de l' art. 86 CP et lui fait grief d'avoir versé dans l'arbitraire en établissant les faits.</w:t>
      </w:r>
    </w:p>
    <w:p>
      <w:r>
        <w:rPr>
          <w:b/>
        </w:rPr>
        <w:t>E. 1.1.1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p. 203; arrêts 6B_91/2020 du 31 mars 2020 consid. 1; 6B_103/2019 du 21 février 2019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115; arrêt 6B_103/2019 précité consid. 2.1). Afin de procéder à un pronostic différentiel, il sied de comparer les avantages et désavantages de l'exécution de la peine avec la libération conditionnelle ( ATF 124 IV 193 consid. 4a et consid. 5b/bb p. 196 ss; arrêts 6B_686/2019 du 17 juillet 2019 consid. 1.1; 6B_32/2019 du 28 février 2019 consid. 2.2). Dans l'émission du pronostic, l'autorité compétente dispose d'un large pouvoir d'appréciation. Le Tribunal fédéral n'intervient que si elle en a abusé, notamment lorsqu'elle a omis de tenir compte de critères pertinents et s'est fondée exclusivement sur les antécédents du condamné ( ATF 133 IV 201 consid. 2.3 p. 204; arrêt 6B_353/2019 du 25 avril 2019 consid. 1.2.1).</w:t>
      </w:r>
    </w:p>
    <w:p>
      <w:r>
        <w:rPr>
          <w:b/>
        </w:rPr>
        <w:t>E. 1.1.2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n'examine la violation de droits fondamentaux que si ce moyen est invoqué et motivé par le recourant de manière précise ( art. 106 al. 2 LTF ), c'est-à-dire s'il a été expressément soulevé et exposé de manière claire et détaillée. Les critiques de nature appellatoire sont irrecevables ( ATF 145 IV 154 consid. 1.1 p. 156 et les références citées).</w:t>
      </w:r>
    </w:p>
    <w:p>
      <w:r>
        <w:rPr>
          <w:b/>
        </w:rPr>
        <w:t>E. 1.2</w:t>
      </w:r>
    </w:p>
    <w:p>
      <w:r>
        <w:t>La cour cantonale a relevé que, depuis son entrée en Suisse en août 2015, le recourant avait été condamné à sept reprises (outre la condamnation à la base de la présente procédure) pour une durée totale excédant 50 mois de peine privative de liberté pour des infractions à la LStup et à la LEI. Elle a considéré que, malgré les multiples condamnations du recourant, ce dernier avait persisté à commettre des infractions. Ni l'octroi d'une première libération conditionnelle, ni le fait d'avoir déjà purgé plus de 10 mois de peine privative de liberté ne l'en avait dissuadé. En outre, lors de sa dernière condamnation pour infraction à la LStup, il occupait une position importante de grossiste au sein d'un trafic de stupéfiants plus grave que celui adopté précédemment. Quant à l'amendement, il était relatif, voire inexistant dès lors que le recourant avait commencé par nier tout trafic de drogue, puis avait évolué sur ce point devant le Juge d'application des peines avant de réaffirmer qu'il n'avait pas trafiqué de drogue. Certes, la prison avait préavisé favorablement de sa libération conditionnelle, mais ce préavis était subordonné à sa collaboration pour organiser son renvoi de Suisse. Or il était établi qu'il ne collaborait pas en ce sens, si bien que la condition posée par l'établissement pénitentiaire n'était pas remplie. Par ailleurs, il ressortait du dossier que l'intéressé avait été renvoyé d'Espagne à l'issue de sa procédure de libération conditionnelle et que ce pays avait refusé sa réadmission. En outre, les conditions d'existence du recourant auraient été similaires à celles prévalant lors de sa dernière condamnation. L'intéressé n'étant pas admis à résider en Espagne, ses projets d'y travailler ne paraissaient pas réalistes. Relevant que le pronostic pouvait ne pas être défavorable qu'à la condition d'un renvoi du recourant dans son pays d'origine et qu'il s'y refusait, la cour cantonale a établi un pronostic défavorable.</w:t>
      </w:r>
    </w:p>
    <w:p>
      <w:r>
        <w:rPr>
          <w:b/>
        </w:rPr>
        <w:t>E. 1.3</w:t>
      </w:r>
    </w:p>
    <w:p>
      <w:r>
        <w:t>L'argumentation du recourant repose, pour l'essentiel, sur une appréciation personnelle des faits, en la substituant à celle de la cour cantonale, dans une démarche purement appellatoire, partant irrecevable. C'est le cas notamment lorsqu'il affirme, sans développer, qu'il collabore à son renvoi, qu'il a la volonté ferme de quitter la Suisse pour retrouver sa famille ou que son refus d'admission en Espagne serait erroné. Le recourant se méprend en tant qu'il affirme que l'autorité cantonale aurait « occulté maladroitement » le fait que son enfant et sa femme se trouvent en Espagne et qu'il compte les y rejoindre, alors que ces faits ont été expressément pris en compte par la cour cantonale, laquelle a motivé pour quels motifs ce projet n'était pas réaliste. Pour le surplus, le recourant s'écarte de manière inadmissible de l'état de fait arrêté par la cour cantonale lorsqu'il affirme qu'il est aujourd'hui sevré de toute addiction, qu'il a travaillé dans le secteur maçonnerie et lingeries de l'établissement carcéral, et que, toujours de bonne humeur, son comportement était exempt de tout reproche. Il en va également ainsi lorsqu'il affirme avoir commencé une formation FEP, en ayant un bon comportement en classe. Au demeurant, si la cour cantonale a tenu compte du bon comportement du recourant en détention, elle a relevé que le préavis positif de la prison était subordonné à des conditions qui n'étaient pas réalisables en l'espèce. Contrairement à ce que laisse entendre le recourant, la libération conditionnelle ne lui a pas été refusée simplement au vu de sa dernière condamnation. Cette décision repose sur de nombreux aspects pertinents dans l'établissement du pronostic, dont le recourant échoue à démontrer l'arbitraire (amendement relatif voire inexistant; défaut de collaboration au renvoi; conditions d'existence prévisibles etc.; cf. consid. 1.2.1 et 1.3). Au vu de ce qui précède, on ne saurait retenir que l'autorité cantonale aurait abusé de son pouvoir d'appréciation en établissant un pronostic défavorable vis-à-vis de l'intéressé et considéré que les conditions pour octroyer la libération conditionnelle n'étaient pas réalisées en l'espèce.</w:t>
      </w:r>
    </w:p>
    <w:p>
      <w:r>
        <w:rPr>
          <w:b/>
        </w:rPr>
        <w:t>E. 2</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