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189/2017 vom 7. Dezember 2017</w:t>
      </w:r>
    </w:p>
    <w:p>
      <w:r>
        <w:t>Bundesgericht, 2017-12-07, FR</w:t>
      </w:r>
    </w:p>
    <w:p>
      <w:r>
        <w:rPr>
          <w:b/>
        </w:rPr>
        <w:t xml:space="preserve">Quelle: </w:t>
      </w:r>
      <w:r>
        <w:t>https://mcp.opencaselaw.ch/entscheid/bger_6B_189_2017</w:t>
      </w:r>
    </w:p>
    <w:p>
      <w:r>
        <w:t>FR: TF 6B 189/2017 du 7 décembre 2017</w:t>
      </w:r>
    </w:p>
    <w:p>
      <w:r>
        <w:t>IT: TF 6B 189/2017 del 7 dicembre 2017</w:t>
      </w:r>
    </w:p>
    <w:p>
      <w:pPr>
        <w:pStyle w:val="Heading2"/>
      </w:pPr>
      <w:r>
        <w:t>Regeste</w:t>
      </w:r>
    </w:p>
    <w:p>
      <w:r>
        <w:t>Recel; infraction grave à la LStup; arbitraire; fixation de la peine; sursis | Infractions</w:t>
      </w:r>
    </w:p>
    <w:p>
      <w:pPr>
        <w:pStyle w:val="Heading2"/>
      </w:pPr>
      <w:r>
        <w:t>Erwägungen</w:t>
      </w:r>
    </w:p>
    <w:p>
      <w:r>
        <w:rPr>
          <w:b/>
        </w:rPr>
        <w:t>E. 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manière arbitraire ( art. 9 Cst. : voir sur cette notion : ATF 141 IV 369 consid. 6.3 p. 375; 141 I 49 consid. 3.4 p. 53; 140 III 264 consid. 2.3 p. 266). Le principe in dubio pro reo, respectivement la présomption d'innocence, n'ont pas de portée plus étendue dans ce contexte ( ATF 138 V 74 consid. 7 p. 82; 127 I 38 consid. 2a p. 41). Le Tribunal fédéral n'entre en matière sur de tels moyens, fondés sur la violation de droits fondamentaux, que s'ils ont été invoqués et motivés de manière précise ( art. 106 al. 2 LTF ; ATF 142 III 364 consid. 2.4 p. 368). Les critiques de nature appellatoires sont irrecevables ( ATF 142 III 364 consid. 2.4 p. 368; 141 IV 249 consid. 1.3.1 p. 253).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ATF 140 III 264 consid. 2.3 p. 266; ATF 129 I 8 consid. 2.1 p. 9).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6B_1183/2016 du 24 août 2017 consid. 1.1; 6B_445/2016 du 5 juillet 2017 consid. 5.1).</w:t>
      </w:r>
    </w:p>
    <w:p>
      <w:r>
        <w:rPr>
          <w:b/>
        </w:rPr>
        <w:t>E. 2</w:t>
      </w:r>
    </w:p>
    <w:p>
      <w:r>
        <w:t>Contestant son implication dans un quelconque trafic de stupéfiants, le recourant discute longuement l'établissement des faits et l'appréciation des preuves opérés par la cour cantonale. Il lui reproche en résumé d'avoir considéré comme crédibles les mises en cause des différents protagonistes du trafic et d'avoir estimé que les stupéfiants ainsi que l'importante somme d'argent en liquide retrouvés dans son appartement démontraient son implication dans le trafic. Pour déterminer l'ampleur de l'implication du recourant dans le trafic de cocaïne, l'autorité précédente s'est notamment fondée sur les déclarations de E.________, épouse de B.________, qui avait décrit de manière très précise le fonctionnement du trafic ainsi que le rôle des personnes qui y étaient impliquées. Peu importait à cet égard que sa mise en cause ait été tardive, dès lors qu'elle s'était mise à parler aussitôt que la police lui avait demandé des renseignements sur l'activité illicite déployée par le recourant. Ses prétendus problèmes psychiques ainsi que ses différends avec son mari ne portaient pas atteinte à la crédibilité de ses dires. La cour cantonale s'est également appuyée sur les déclarations d'autres protagonistes du trafic, à savoir en particulier celles de F.________, de G.________ et de H.________. Pour la cour cantonale, la rétractation partielle de F.________ ne remettait pas en cause ses précédentes affirmations s'agissant du transfert vers l'Afrique d'une somme de 25'000 fr. qu'il avait effectué, en plusieurs fois, pour le compte du recourant. Quant à G.________, qui exerçait au sein du trafic la fonction de convoyeur de fonds, même s'il avait varié dans ses déclarations, il était établi notamment par des écoutes téléphoniques que le recourant lui avait remis un sac noir reçu d'un autre trafiquant, qui contenait 23'900 fr., représentant le paiement de 600 grammes de cocaïne livrés le 1 er octobre 2006 et non le produit d'un hypothétique commerce de voitures. S'agissant enfin des déclarations de H.________, interpellée le 6 juillet 2006 alors qu'elle était en possession de 460 grammes de cocaïne, elles avaient permis d'établir un lien entre une personne qui avait participé au trafic comme mule et le recourant, qui avait été en contact téléphonique avec elle à vingt-six reprises entre le 15 juillet et le 21 septembre 2006, alors qu'aucun contact n'avait été recensé avant et après cette période. L'activité du recourant en lien avec le trafic de cocaïne était également établie par les écoutes téléphoniques mises en oeuvre par la police. Contrairement à ce qu'il prétendait, rien ne permettait d'affirmer que les très nombreux contacts entretenus avec les autres trafiquants étaient l'illustration d'une amitié forte et soudée. Quant à la présence de 40 grammes de cocaïne à son domicile, ses affirmations selon lesquelles elle établirait tout au plus une consommation occasionnelle de sa part n'étaient pas crédibles, compte tenu de ses revirements quant à savoir s'il était ou non consommateur occasionnel de stupéfiants. Enfin, les nombreux versements d'argent vers l'Afrique pour un total de plus de 30'000 fr. appuyaient encore la thèse de la participation du recourant au trafic dans la mesure où, celui-ci dépendant de l'aide sociale, il lui était tout simplement impossible de réaliser des économies aussi importantes. Aucun crédit ne pouvait au demeurant être accordé à l'affirmation selon laquelle le recourant avait viré les économies de connaissances requérantes d'asile pour leur rendre service. En arguant qu'il est probable que E.________ l'ait accusé dans le but de faire condamner son mari, le recourant ne tente pas d'exposer en quoi l'autorité précédente aurait versé dans l'arbitraire dans son appréciation des preuves et se limite à opposer sa propre appréciation dans une démarche appellatoire, partant irrecevable dans le recours en matière pénale. Il en va de même notamment lorsqu'il soutient qu'on imaginait mal que F.________ avait pu avoir peur des conséquences de ses mises en cause et lorsqu'il affirme que les appels téléphoniques passés avec d'autres protagonistes ne démontraient pas son implication dans le trafic.</w:t>
      </w:r>
    </w:p>
    <w:p>
      <w:r>
        <w:rPr>
          <w:b/>
        </w:rPr>
        <w:t>E. 3</w:t>
      </w:r>
    </w:p>
    <w:p>
      <w:r>
        <w:t>C'est en vain que le recourant revient sur les circonstances ayant fondé l'accusation de blanchiment d'argent, dès lors que cette infraction, prescrite, n'a pas été retenue par l'autorité précédente.</w:t>
      </w:r>
    </w:p>
    <w:p>
      <w:r>
        <w:rPr>
          <w:b/>
        </w:rPr>
        <w:t>E. 4</w:t>
      </w:r>
    </w:p>
    <w:p>
      <w:r>
        <w:t>Le recourant conteste ensuite sa condamnation pour recel.</w:t>
      </w:r>
    </w:p>
    <w:p>
      <w:r>
        <w:rPr>
          <w:b/>
        </w:rPr>
        <w:t>E. 4.1</w:t>
      </w:r>
    </w:p>
    <w:p>
      <w:r>
        <w:t>Conformément à l' art. 160 ch. 1 al. 1 CP ,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le patrimoine ( ATF 128 IV 23 consid. 3c p. 24). Le point de savoir si l'auteur du délit préalable a été poursuivi ou puni est sans pertinence. Il suffit que l'acte initial réalise les conditions objectives d'un comportement pénalement répréhensible ( ATF 101 IV 402 consid. 2 p. 405 et les références). Comme en matière de blanchiment ( art. 305bis CP ), la preuve stricte de l'acte préalable n'est pas exigée (cf. ATF 120 IV 323 consid. 3d p. 328; arrêt 6B_1342/2015 du 28 octobre 2016 consid. 2.2.1). La qualification exacte de l'acte n'est pas nécessaire. Il suffit que la valeur patrimoniale soit issue avec certitude d'un délit contre le patrimoine. Enfin,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(arrêt 6B_728/2010 du 1 er mars 2011 consid. 2.2 et les références).</w:t>
      </w:r>
    </w:p>
    <w:p>
      <w:r>
        <w:rPr>
          <w:b/>
        </w:rPr>
        <w:t>E. 4.2</w:t>
      </w:r>
    </w:p>
    <w:p>
      <w:r>
        <w:t>L'autorité précédente a retenu, de manière à lier le Tribunal fédéral, que le recourant s'était vu remettre par un ressortissant nigérian dénommé I.________, qui logeait dans un centre d'hébergement collectif, un téléphone portable, neuf, dérobé le 13 mai 2006 dans une boutique J.________ à A.________ et saisi en cours d'enquête lors d'une visite domiciliaire chez le recourant. Ce dernier devait à tout le moins se douter de la provenance délictueuse de l'appareil qui lui avait été remis - avec plusieurs autres téléphones ayant servi au trafic - par un homme qui n'avait manifestement pas les moyens financiers pour l'acquérir. D'une part, l'infraction préalable était établie et, d'autre part, le recourant avait à tout le moins accepté l'idée que l'appareil provienne d'une infraction contre le patrimoine. En se bornant à soutenir que ce serait peut-être un tiers qui avait volé le téléphone ou que celui-ci, dans l'hypothèse de la conclusion d'un abonnement, aurait pu être possédé de manière légitime même en l'absence de paiement, il s'en prend aux faits retenus par l'autorité précédente dans une démarche appellatoire, partant irrecevable dans un recours en matière pénale. Il en va de même lorsque le recourant conteste que l'infraction est réalisée sur le plan subjectif, dès lors qu'il est selon lui constant que les requérants d'asile ont tous un ou plusieurs téléphones portables qu'ils s'échangent mutuellement, pratiquant le prêt, la donation ou la vente de tels objets, par ailleurs souvent de valeur minime. On relève à cet égard qu'il ne soulève toutefois pas de grief en lien avec l' art. 172ter CP . En définitive, c'est sans violer le droit fédéral que la cour cantonale a reconnu le recourant coupable de recel.</w:t>
      </w:r>
    </w:p>
    <w:p>
      <w:r>
        <w:rPr>
          <w:b/>
        </w:rPr>
        <w:t>E. 5</w:t>
      </w:r>
    </w:p>
    <w:p>
      <w:r>
        <w:t>Le recourant conteste la quotité de la peine prononcée à son encontre.</w:t>
      </w:r>
    </w:p>
    <w:p>
      <w:r>
        <w:rPr>
          <w:b/>
        </w:rPr>
        <w:t>E. 5.1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En ce qui concerne les principes généraux relatifs à la fixation de la peine, on peut renvoyer aux arrêts topiques ( ATF 142 IV 137 consid. 9.1 p. 147; ATF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6B_157/2017 du 25 octobre 2017 consid. 4.1).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136 IV 55 consid. 5.6 p. 61; arrêt 6B_111/2015 du 3 mars 2016 consid. 2.2, non publié aux ATF 142 IV 196 ).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 art. 19 al. 2 let. a LStup (cf. ancien art. 19 ch. 2 let. a LStup ; ATF 138 IV 100 consid. 3.2 p. 103; 120 IV 334 consid. 2a p. 338; 109 IV 143 consid. 3b p. 145). Le type de drogue et sa pureté doivent aussi être pris en considération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kilogramme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6B_107/2013 du 15 mai 2013 consid. 2.1.1 et 6B_921/2010 du 25 janvier 2011 consid. 2.1).</w:t>
      </w:r>
    </w:p>
    <w:p>
      <w:r>
        <w:rPr>
          <w:b/>
        </w:rPr>
        <w:t>E. 5.2</w:t>
      </w:r>
    </w:p>
    <w:p>
      <w:r>
        <w:t>La cour cantonale a considéré que la culpabilité du recourant était extrêmement lourde, les faits reprochés au recourant étant graves au regard de la quantité très importante de cocaïne mise sur le marché (7 kg), du chiffre d'affaires réalisé (300'000 fr.), de la position élevée du recourant dans la hiérarchie du trafic et de sa seule motivation lucrative. L'activité criminelle, qui s'était déployée sur plusieurs cantons et qui avait touché un grand nombre de personnes, devait être qualifiée de très intense. Il fallait en outre tenir compte d'une absence totale de scrupules, le recourant ayant fait preuve d'un manque crasse de collaboration, en ayant nié toute implication et en incriminant faussement d'autres personnes. Il y avait en outre lieu de tenir compte du concours entre les infractions commises et d'une absence totale de prise de conscience. La bonne implication du recourant dans l'éducation de ses enfants devait toutefois être mise à son crédit. Pour la cour cantonale, une peine privative de liberté de 10 ans aurait été adéquate pour sanctionner le comportement fautif du recourant. La violation du principe de célérité qui avait été constatée et l'écoulement du temps au sens général justifiaient néanmoins de réduire la peine privative de liberté à 7 ans.</w:t>
      </w:r>
    </w:p>
    <w:p>
      <w:r>
        <w:rPr>
          <w:b/>
        </w:rPr>
        <w:t>E. 5.3</w:t>
      </w:r>
    </w:p>
    <w:p>
      <w:r>
        <w:t>Sans revenir précisément sur les critères qui ont guidé l'appréciation de l'autorité précédente lors de l'application de l' art. 47 CP , le recourant soutient que la violation du principe de la célérité ( art. 5 CPP , 29 al. 1 Cst., 6 par. 1 CEDH et 14 par. 3 let. c Pacte ONU II) ainsi que l'application de l' art. 48 let . e CP auraient dû conduire l'autorité précédente à prononcer une peine infiniment moins lourde et en tout cas compatible avec le sursis ( art. 42 al. 1 CP ).</w:t>
      </w:r>
    </w:p>
    <w:p>
      <w:r>
        <w:rPr>
          <w:b/>
        </w:rPr>
        <w:t>E. 5.3.1</w:t>
      </w:r>
    </w:p>
    <w:p>
      <w:r>
        <w:t>Les art. 5 CPP et 29 al. 1 Cst. garantissent notamment à toute personne le droit à ce que sa cause soit traitée dans un délai raisonnable. Ces dispositions consacrent le principe de la célérité et prohibent le retard injustifié à statuer (arrêt 6B_843/2014 du 7 avril 2015 consid. 1.4.1). L'autorité viole cette garantie lorsqu'elle ne rend pas une décision qu'il lui incombe de prendre dans le délai prescrit par la loi ou dans le délai que la nature de l'affaire et les circonstances font apparaître comme raisonnable (voir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130 I 312 consid. 5.1 p. 331 s.; arrêt 6B_934/2016 du 13 juillet 2017 consid. 1.3.1, destiné à la publication). La violation du principe de la célérité peut avoir pour conséquence la diminution de la peine, parfois l'exemption de toute peine ou encore une ordonnance de classement en tant qu'ultima ratio dans les cas les plus extrêmes ( ATF 135 IV 12 consid 3.6 p. 26; arrêt 6B_934/2016 précité consid. 1.4.1). D'une manière générale, on ne saurait reprocher à l'autorité quelques temps morts, qui sont inévitables dans toute procédure. Une diminution de la peine ne peut entrer en ligne de compte qu'en cas de lacune crasse et avérée dans le déroulement de la procédure et le fait que certains actes ont pu être effectués plus rapidement ne suffit pas pour que soit admise une telle violation (arrêt 6B_473/2011 du 13 octobre 2011 consid. 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 ATF 130 IV 54 consid. 3.3.3 p. 56 s.). L'exigence découlant du principe de la célérité se distingue de la circonstance atténuante de l'écoulement du temps ( art. 48 let . e CP) et ne suppose pas que l'accusé se soit bien comporté dans l'intervalle ( ATF 130 IV 54 consid. 3.3.1 p. 54 s.). Elle n'implique pas non plus, contrairement à l' art. 48 let . e CP, que le temps écoulé soit proche de la prescription. Cependant, lorsque les conditions de l' art. 48 let . e CP et d'une violation du principe de la célérité sont réalisées, il convient de prendre en considération les deux facteurs de réduction de peine de manière cumulative (arrêt 6B_14/2007 du 17 avril 2007 consid. 6.8.1).</w:t>
      </w:r>
    </w:p>
    <w:p>
      <w:r>
        <w:rPr>
          <w:b/>
        </w:rPr>
        <w:t>E. 5.3.2</w:t>
      </w:r>
    </w:p>
    <w:p>
      <w:r>
        <w:t>La cour cantonale a reconnu l'existence d'une violation du principe de la célérité, dès lors que la procédure avait connu un retard injustifié entre la fin de l'année 2007 et le début de l'année 2009, puis entre la fin de l'année 2009 et le début de l'année 2014, sous réserve de diverses opérations de disjonction de causes auxquelles il avait été procédé en 2013. Selon elle, les effets de la violation du principe de célérité devaient toutefois être "atténués". S'agissant du comportement du recourant, s'il était vrai que celui-ci ne s'était pas montré collaborant, il n'avait cependant jamais entrepris de démarches à caractère purement dilatoire et s'était bien comporté depuis qu'il avait été remis en liberté. Il fallait en outre, d'une part, tenir compte du fait que le recourant n'était plus en détention provisoire durant les périodes d'inactivité. D'autre part, la violation du principe de célérité avait eu pour effet de faire prescrire de nombreux délits, qui n'étaient pas anodins (blanchiment d'argent, lésions corporelles qualifiées). De surcroît, il y avait lieu de tenir compte de la circonstance atténuante tirée de l'écoulement du temps, le recourant s'étant bien comporté depuis sa mise en liberté provisoire. La cour cantonale en a conclu qu'il se justifiait de réduire la peine prononcée de 10 ans à 7 ans.</w:t>
      </w:r>
    </w:p>
    <w:p>
      <w:r>
        <w:rPr>
          <w:b/>
        </w:rPr>
        <w:t>E. 5.3.3</w:t>
      </w:r>
    </w:p>
    <w:p>
      <w:r>
        <w:t>Le recourant fait grief à la cour cantonale de s'être bornée à considérer qu'une réduction globale de 30% de la peine était suffisante, sans distinguer, dans sa motivation, les réductions de peine accordées respectivement en vertu de la violation du principe de la célérité et de la circonstance atténuante de l' art. 48 let . e CP. Si la cour cantonale n'était certes pas tenue d'exprimer en chiffres ou en pourcentages la portée accordée à chacune des circonstances mentionnées ( ATF 136 IV 55 consid. 5.6 p. 61 et les arrêts cités), la lecture de sa motivation ne permet toutefois pas de discerner l'importance respective donnée à la circonstance atténuante de l' art. 48 let . e CP - qu'elle aborde de manière particulièrement succincte - et à la violation du principe de la célérité. Ce faisant, elle a omis de distinguer les conséquences tirées de ces deux facteurs de réduction de peine, qui, s'ils peuvent être cumulés, répondent à des justifications différentes. Il est observé à cet égard que la violation du principe de la célérité découlant d'un retard dans la procédure est liée à une inaction des autorités, alors que l'application de l' art. 48 let . e CP vise à tenir compte de la diminution de la nécessité à punir en raison de l'effet guérisseur du temps écoulé. En outre, l'autorité précédente ne pouvait pas retenir, sauf à violer la présomption d'innocence du recourant, que la prescription atteinte pour les chefs de prévention de blanchiment d'argent et de lésions corporelles simples qualifiées avaient eu pour effet d'atténuer la violation du principe de la célérité. On ne perçoit par ailleurs pas ce que la cour cantonale entendait déduire du fait que le recourant n'était plus en détention durant les périodes d'inactivité. Il n'apparaît en tout cas pas que cette circonstance puisse influencer défavorablement la réduction de la peine commandée en raison des retards dans la procédure. Incomplète, la motivation présentée par l'autorité précédente empêche d'aborder plus avant le contrôle de l'exercice de son pouvoir d'appréciation. Compte tenu des circonstances, en particulier des retards importants (5 ans environ) constatés dans la procédure et des années écoulées depuis la commission des infractions, il apparaît toutefois qu'une réduction globale de 30% de la peine ne tient pas suffisamment compte de l'effet cumulé des deux facteurs de réduction. Le moyen doit être admis.</w:t>
      </w:r>
    </w:p>
    <w:p>
      <w:r>
        <w:rPr>
          <w:b/>
        </w:rPr>
        <w:t>E. 6</w:t>
      </w:r>
    </w:p>
    <w:p>
      <w:r>
        <w:t>Il s'ensuit que le recours doit être partiellement admis, l'arrêt attaqué annulé et la cause renvoyée à l'autorité précédente pour nouvelle décision. Pour le surplus, le recours doit être rejeté dans la mesure de sa recevabilité. Le recourant a requis l'assistance judiciaire. Il ne supportera pas de frais et peut prétendre à une indemnité de dépens réduite relativement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