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6B_187/2016 vom 17. Juni 2016</w:t>
      </w:r>
    </w:p>
    <w:p>
      <w:r>
        <w:t>Bundesgericht, 2016-06-17, DE</w:t>
      </w:r>
    </w:p>
    <w:p>
      <w:r>
        <w:rPr>
          <w:b/>
        </w:rPr>
        <w:t xml:space="preserve">Quelle: </w:t>
      </w:r>
      <w:r>
        <w:t>https://mcp.opencaselaw.ch/entscheid/bger_6B_187_2016</w:t>
      </w:r>
    </w:p>
    <w:p>
      <w:r>
        <w:t>FR: TF 6B_187/2016 du 17 juin 2016</w:t>
      </w:r>
    </w:p>
    <w:p>
      <w:r>
        <w:t>IT: TF 6B_187/2016 del 17 giugno 2016</w:t>
      </w:r>
    </w:p>
    <w:p>
      <w:pPr>
        <w:pStyle w:val="Heading2"/>
      </w:pPr>
      <w:r>
        <w:t>Erwägungen</w:t>
      </w:r>
    </w:p>
    <w:p>
      <w:r>
        <w:rPr>
          <w:b/>
        </w:rPr>
        <w:t>E. 1.1</w:t>
      </w:r>
    </w:p>
    <w:p>
      <w:r>
        <w:t>Der Beschwerdeführer macht geltend, A.________ sei in Bezug auf die inkriminierten Delikte des Amtsmissbrauchs und der Veruntreuung im Amt nicht Geschädigte im Sinne von Art. 115 StPO , da sie durch die genannten Straftaten in ihren Rechten nicht unmittelbar verletzt worden sei. Da sie nicht geschädigte Person sei, könne sie nicht im Sinne von Art. 118 StPO Privatklägerin sein. A.________ sei demnach im vorinstanzlichen Verfahren und in den mehreren Beschwerdeverfahren vor der Beschwerdekammer des Bundesstrafgerichts zu Unrecht als Privatklägerin zugelassen worden.</w:t>
      </w:r>
    </w:p>
    <w:p>
      <w:r>
        <w:rPr>
          <w:b/>
        </w:rPr>
        <w:t>E. 1.2</w:t>
      </w:r>
    </w:p>
    <w:p>
      <w:r>
        <w:t>Die im vorliegenden Strafverfahren bisher als Privatklägerin zugelassene A.________ war Angestellte (Sekretärin und Buchhalterin) der D.________ AG und im Zeitpunkt der Konkurseröffnung Gläubigerin im Konkurs der D.________ AG. Ihr standen aus ihrem Arbeitsverhältnis mit der D.________ AG Lohnforderungen zu. Ausserdem hatte sich A.________ die 1.Klass-Forderungen von vier weiteren ehemaligen Angestellten der konkursiten D.________ AG abtreten lassen.</w:t>
      </w:r>
    </w:p>
    <w:p>
      <w:r>
        <w:rPr>
          <w:b/>
        </w:rPr>
        <w:t>E. 1.3</w:t>
      </w:r>
    </w:p>
    <w:p>
      <w:r>
        <w:t>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Die zur Stellung eines Strafantrags berechtigte Person gilt in jedem Fall als geschädigte Person ( Art. 115 Abs. 2 StPO ).</w:t>
      </w:r>
    </w:p>
    <w:p>
      <w:r>
        <w:t>In seinen Rechten unmittelbar verletzt ist, wer Träger des durch die missachtete Strafnorm geschützten oder zumindest mitgeschützten Rechtsgutes ist ( BGE 140 IV 155 E. 3.2).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140 IV 155 E. 3.2; 139 IV 78 E. 3.3.3; je mit Hinweisen).</w:t>
      </w:r>
    </w:p>
    <w:p>
      <w:r>
        <w:t>Bei Straftaten gegen das Vermögen gilt der Inhaber des Vermögens als geschädigte Person. Bei Vermögensdelikten zum Nachteil einer Aktiengesellschaft sind weder die Aktionäre noch die Gesellschaftsgläubiger unmittelbar verletzt und somit geschädigt ( BGE 140 IV 155 E. 3.3.3; siehe auch Urteile 6B_680/2013 vom 6. November 2013 E. 3; 1B_191/2014 vom 14. August 2014 E. 3.1).</w:t>
      </w:r>
    </w:p>
    <w:p>
      <w:r>
        <w:rPr>
          <w:b/>
        </w:rPr>
        <w:t>E. 1.4</w:t>
      </w:r>
    </w:p>
    <w:p>
      <w:r>
        <w:t>Durch die inkriminierte Veruntreuung im Amt, angeblich begangen dadurch, dass der Beschwerdeführer und der Mitangeklagte X.________ als Mitarbeiter der FINMA am 3. September 2009 die von den Konkursliquidatoren C.________ und B.________ erstellte Schlussrechnung genehmigten, in welcher die Verteidigungskosten von B.________ in der Angelegenheit A.________ der Konkursmasse der D.________ AG belastet wurden, wurde allein die D.________ AG respektive deren Konkursmasse in ihren Rechten unmittelbar verletzt und somit geschädigt. A.________ wurde als Gläubigerin der D.________ AG höchstens mittelbar geschädigt.</w:t>
      </w:r>
    </w:p>
    <w:p>
      <w:r>
        <w:t>Auch durch den inkriminierten Amtsmissbrauch, angeblich begangen durch die genannte Genehmigung der Schlussrechnung, wurde A.________ als Gläubigerin höchstens mittelbar geschädigt.</w:t>
      </w:r>
    </w:p>
    <w:p>
      <w:r>
        <w:t>Hingegen wäre A.________ durch allfällige Konkursdelikte unmittelbar geschädigt worden.</w:t>
      </w:r>
    </w:p>
    <w:p>
      <w:r>
        <w:t>Weder die Veruntreuung im Amt im Sinne von Art. 138 Ziff. 1 al. 2 und Ziff. 2 StGB noch der Amtsmissbrauch gemäss Art. 312 StGB ist ein Antragsdelikt. A.________ kann daher auch nicht gestützt auf Art. 115 Abs. 2 StPO als geschädigte Person angesehen werden.</w:t>
      </w:r>
    </w:p>
    <w:p>
      <w:r>
        <w:t>A.________ ist somit mangels Geschädigtenstellung keine Privatklägerin. Sie wurde in den bisherigen Verfahren, d.h. im erstinstanzlichen Verfahren und in den mehreren Verfahren vor der Beschwerdekammer des Bundesstrafgerichts, zu Unrecht als Privatklägerin zugelassen.</w:t>
      </w:r>
    </w:p>
    <w:p>
      <w:r>
        <w:rPr>
          <w:b/>
        </w:rPr>
        <w:t>E. 1.5</w:t>
      </w:r>
    </w:p>
    <w:p>
      <w:r>
        <w:t>Die Beschwerdekammer des Bundesstrafgerichts hätte auf die Beschwerden von A.________ gegen die Nichtanhandnahmeverfügung und gegen die beiden Einstellungsverfügungen der Bundesanwaltschaft nicht eintreten dürfen, da die Beschwerdeführerin rechtlich blosse Anzeigeerstatterin und mangels Geschädigtenstellung nicht Privatklägerin und somit nicht Partei ist, welche zur Beschwerde gegen Einstellungsverfügungen befugt ist (siehe Art. 104 Abs. 1 lit. b, Art. 322 Abs. 2, Art. 382, Art. 393 StPO ).</w:t>
      </w:r>
    </w:p>
    <w:p>
      <w:r>
        <w:rPr>
          <w:b/>
        </w:rPr>
        <w:t>E. 1.6</w:t>
      </w:r>
    </w:p>
    <w:p>
      <w:r>
        <w:t>Dies bedeutet aber entgegen der Meinung des Beschwerdeführers nicht, dass die drei Beschwerdeentscheide der Beschwerdekammer des Bundesstrafgerichts vom 4. Juli 2011, 18. Juni 2013 und vom 14. Januar 2015 beziehungsweise zumindest die beiden letztgenannten Beschwerdeentscheide, von welchen auch der Beschwerdeführer betroffen war, im vorliegenden Verfahren der Beschwerde in Strafsachen aufzuheben seien. Dies fällt schon deshalb ausser Betracht, weil die Beschwerde in Strafsachen unzulässig ist gegen Entscheide der Beschwerdekammer des Bundesstrafgerichts, soweit es sich nicht um Entscheide über Zwangsmassnahmen handelt ( Art. 79 BGG ). Somit hat auch der Entscheid der Beschwerdekammer des Bundesstrafgerichts vom 14. Januar 2015, in welchem die Bundesanwaltschaft angewiesen wurde, das Verfahren gegen B.________ mittels Strafbefehl zum Abschluss zu bringen oder Anklage zu erheben, weiterhin Bestand.</w:t>
      </w:r>
    </w:p>
    <w:p>
      <w:r>
        <w:rPr>
          <w:b/>
        </w:rPr>
        <w:t>E. 1.7</w:t>
      </w:r>
    </w:p>
    <w:p>
      <w:r>
        <w:t>Dass A.________ auch im vorinstanzlichen Verfahren zu Unrecht als Privatklägerin zugelassen wurde, kann entgegen der Meinung des Beschwerdeführers nicht zur Folge haben, dass das angefochtene Urteil im Schuldpunkt aufzuheben sei. Eine Verurteilung des Beschwerdeführers wegen Veruntreuung im Amt wäre auch erfolgt, wenn A.________ im vorinstanzlichen Verfahren lediglich als Anzeigeerstatterin und nicht als Privatklägerin und damit Partei behandelt worden wäre.</w:t>
      </w:r>
    </w:p>
    <w:p>
      <w:r>
        <w:rPr>
          <w:b/>
        </w:rPr>
        <w:t>E. 1.8</w:t>
      </w:r>
    </w:p>
    <w:p>
      <w:r>
        <w:t>Die Erkenntnis, dass A.________ entgegen der Meinung der Vorinstanz mangels Geschädigtenstellung nicht Privatklägerin im Sinne der Strafprozessordnung ist, hat indessen nach der insoweit zutreffenden Auffassung des Beschwerdeführers zur Folge, dass der angefochtene Entscheid insofern aufzuheben ist, als der Beschwerdeführer darin verpflichtet wird, A.________ eine Entschädigung von Fr. 15'000.--- zu zahlen (Ziff. VIII des Urteilsdispositivs). Diese Verpflichtung des Beschwerdeführers wird im angefochtenen Entscheid (S. 30) unter Berufung auf Art. 433 Abs. 1 StPO begründet, wonach die Privatklägerschaft gegenüber der beschuldigten Person Anspruch auf angemessene Entschädigung für notwendige Aufwendungen im Verfahren hat, wenn (a) sie obsiegt; oder (b) die beschuldigte Person nach Artikel 426 Absatz 2 kostenpflichtig ist. Da A.________ nicht Privatklägerin ist, hat sie keinen Entschädigungsanspruch gegen den Beschwerdeführer gemäss Art. 433 Abs. 1 StPO .</w:t>
      </w:r>
    </w:p>
    <w:p>
      <w:r>
        <w:rPr>
          <w:b/>
        </w:rPr>
        <w:t>E. 2.1</w:t>
      </w:r>
    </w:p>
    <w:p>
      <w:r>
        <w:t>Der Beschwerdeführer macht geltend, er habe den Tatbestand der Veruntreuung nicht erfüllt, da er über das Vermögen der Konkursitin keine Verfügungsmacht gehabt habe. Als Beamter der FINMA habe er im Bankenkonkursverfahren entgegen der nicht näher begründeten Auffassung der Vorinstanz nicht die Aufgaben einer Konkursverwaltung, sondern konkursgerichtliche Kompetenzen gehabt. Die Aufgabe der Konkursverwaltung komme den Konkursliquidatoren zu. Diese allein könnten über das Massavermögen verfügen. Die FINMA-Verantwortlichen könnten den Konkursliquidatoren keine Weisungen erteilen. Die Genehmigung der von den Liquidatoren vorgelegten Schlussrechnung sei keine Anweisung im Sinne eines Unterstellungsverhältnisses. Er habe für die FINMA als Konkursrichter ohne Verfügungsmacht im Rahmen der Genehmigung der Schlussrechnung lediglich die von den Konkursliquidatoren vorgebrachte Frage der Qualifikation der Verteidigungskosten des Konkursliquidators B.________ in der Angelegenheit A.________ entschieden.</w:t>
      </w:r>
    </w:p>
    <w:p>
      <w:r>
        <w:t>Der Beschwerdeführer macht im Weiteren geltend, er habe ihm anvertraute Vermögenswerte entgegen der Auffassung der Vorinstanz nicht im Sinne von Art. 138 Ziff. 1 al. 2 StGB "unrechtmässig" verwendet. Ein im Auftrag der FINMA erstelltes Rechtsgutachten von Rechtsanwalt E.________ vom 9. Mai 2012, mit welchem sich die Vorinstanz nicht auseinandersetze, komme zum Schluss, dass in einem Fall der hier vorliegenden Art die Qualifikation des Verteidigungsaufwands als Massakosten naheliegend und richtig, im Rahmen des weiten Beurteilungsspielraums der FINMA bei der Genehmigung der Schlussrechnung jedenfalls zumindest vertretbar gewesen sei.</w:t>
      </w:r>
    </w:p>
    <w:p>
      <w:r>
        <w:rPr>
          <w:b/>
        </w:rPr>
        <w:t>E. 2.2</w:t>
      </w:r>
    </w:p>
    <w:p>
      <w:r>
        <w:t>Ob der objektive Tatbestand der Veruntreuung im Sinne von Art. 138 Ziff. 1 al. 2 StGB entsprechend der Auffassung des Beschwerdeführers aus diesem und/oder jenem Grund nicht erfüllt ist, kann hier dahingestellt bleiben, da es aus nachstehenden Erwägungen jedenfalls am Vorsatz fehlt und eine Verurteilung wegen Veruntreuung deshalb ausser Betracht fällt.</w:t>
      </w:r>
    </w:p>
    <w:p>
      <w:r>
        <w:rPr>
          <w:b/>
        </w:rPr>
        <w:t>E. 3.1</w:t>
      </w:r>
    </w:p>
    <w:p>
      <w:r>
        <w:t>Die Vorinstanz billigt dem Beschwerdeführer zu, er habe irrtümlich angenommen, die Kosten für die Verteidigung des Liquidators B.________ gehörten zu den Massaverbindlichkeiten und seien daher auszugleichen, bevor die restliche Masse zur Verteilung an die Gläubiger komme. Der Beschwerdeführer habe somit irrtümlich angenommen, dass die Genehmigung der fraglichen Schlussrechnung rechtmässig sei. Die Vorinstanz prüft, ob dieser Irrtum als - den Vorsatz der Veruntreuung ausschliessender - Sachverhaltsirrtum ( Art. 13 StGB ) oder als Irrtum über die Rechtswidrigkeit, d.h. als Rechtsirrtum, der die Schuld ausschliesst beziehungsweise bei Vermeidbarkeit mindert ( Art. 21 StGB ), zu betrachten sei. Sie qualifiziert den Irrtum, dem der Beschwerdeführer erlag, unter den gegebenen Umständen als Rechtsirrtum. Die Vorinstanz unterscheidet unter Hinweis auf eine Minderheitsauffassung in der Lehre im Falle von Fehlvorstellungen bei Tatbestandsmerkmalen mit rechtlicher Wertung zwischen den Voraussetzungen der Rechtsnorm, welche dieses Element bestimmen, und deren Folgen. Im erstgenannten Fall liege ein Sachverhaltsirrtum vor, im zweitgenannten Fall sei ein Rechtsirrtum gegeben. Bezogen auf den konkreten Fall erwägt die Vorinstanz, der Beschwerdeführer habe vollständige Kenntnis von den Gründen für die Faktura des Verteidigers des Liquidators B.________ in Sachen A.________ gehabt; denn der Inhalt der Tätigkeit des Rechtsvertreters werde in der Faktura beschrieben. Damit sei dem Beschwerdeführer bewusst gewesen, was im Lichte von Art. 32 (alt) Bankenkonkursverordnung-FINMA (AS 2005 3539) diese Kosten zu ausserhalb der Massaverbindlichkeiten stehenden gemacht habe. Wenn sich der Beschwerdeführer dieser Norm nicht bewusst gewesen sei, habe er sich in einem Rechtsirrtum im Sinne von Art. 21 StGB befunden.</w:t>
      </w:r>
    </w:p>
    <w:p>
      <w:r>
        <w:rPr>
          <w:b/>
        </w:rPr>
        <w:t>E. 3.2</w:t>
      </w:r>
    </w:p>
    <w:p>
      <w:r>
        <w:t>Den Tatbestand der Veruntreuung erfüllt gemäss Art. 138 Ziff. 1 StGB , wer (al. 1) sich eine ihm anvertraute fremde bewegliche Sache aneignet, um sich oder einen andern damit unrechtmässig zu bereichern, oder wer (al. 2) ihm anvertraute Vermögenswerte unrechtmässig in seinem oder eines andern Nutzen verwendet. Die Unrechtmässigkeit der Verwendung ist im Tatbestand von Art. 138 Ziff. 1 al. 2 StGB ein (normatives) Tatbestandsmerkmal, genauso wie etwa das Merkmal der Fremdheit der Sache in Art. 138 Ziff. 1 al. 1 StGB.</w:t>
      </w:r>
    </w:p>
    <w:p>
      <w:r>
        <w:t>Der Vorsatz muss alle objektiven Tatbestandsmerkmale erfassen, sowohl die tatsächlichen beziehungsweise deskriptiven als auch die rechtlichen respektive normativen Tatbestandsmerkmale. Bei der Veruntreuung muss sich der Vorsatz mithin auch auf die Unrechtmässigkeit der Verwendung des anvertrauten Gutes beziehen (NIGGLI/RIEDO, in: Basler Kommentar, Strafrecht II, 3. Aufl. 2013, N. 112 zu Art. 138 StGB ; ANDREAS DONATSCH, Strafrecht II, Delikte gegen den Einzelnen, 10. Aufl. 2013, S. 146).</w:t>
      </w:r>
    </w:p>
    <w:p>
      <w:r>
        <w:t>Handelt der Täter in einer irrigen Vorstellung über den Sachverhalt, so beurteilt das Gericht die Tat zu Gunsten des Täters nach dem Sachverhalt, den sich der Täter vorgestellt hat ( Art. 13 Abs. 1 StGB ; Sachverhaltsirrtum). Ein solcher Sachverhaltsirrtum beziehungsweise Tatbestandsirrtum ist auch der Irrtum über Tatbestandsmerkmale. Nach Rechtsprechung und herrschender Lehre ist es unerheblich, ob dieser Irrtum auf einer Verkennung von Tatsachen oder auf einer fehlerhaften Rechtsauffassung beruht. Wer - aus welchen Gründen auch immer - über ein normatives Tatbestandsmerkmal irrt, erliegt einem Sachverhaltsirrtum. Auch wer infolge fehlerhafter Rechtsvorstellungen beispielsweise verkennt, dass eine Sache eine fremde ist, irrt über den Sachverhalt im Sinne von Art. 13 StGB und kann den Vorsatz der Veruntreuung oder des Diebstahls nicht haben ( BGE 129 IV 238 E. 3.2; 109 IV 65 E. 3; je mit Hinweisen; NIGGLI/MAEDER, Basler Kommentar, Strafrecht I, 3. Aufl. 2013, N. 27 zu Art. 12 StGB , N. 11 zu Art. 13 StGB ; GÜNTER STRATENWERTH, Schweizerisches Strafrecht, Allgemeiner Teil I, Die Straftat, 4. Aufl. 2011, § 9 N. 77; zum deutschen Recht: CLAUS ROXIN, Strafrecht, Allgemeiner Teil, Bd. 1, 4. Aufl. 2006, § 12 N. 100; a.A. nur KILLIAS/KUHN/DONGOIS/AEBI, Grundriss des Allgemeinen Teils des Schweizerischen Strafgesetzbuches, 2009, S. 44 f. N. 315; KILLIAS/KUHN/DONGOIS, Précis de droit pénal général; 4e édition, 2016, S. 44 N. 315). Einem Sachverhaltsirrtum erliegt mithin nicht nur, wer über tatsächliche Umstände irrt, von welchen der Entscheid über das Vorliegen des Tatbestandsmerkmals der Unrechtmässigkeit der Verwendung im Sinne von Art. 138 Ziff. 1 al. 2 StGB abhängt, sondern auch, wer zwar von zutreffenden tatsächlichen Umständen ausgeht, aber irrtümlich annimmt, unter diesen Umständen sei eine Gutsverwendung nicht unrechtmässig. Wer aus diesem oder jenem Grund meint, die Verwendung sei nicht unrechtmässig, kann nicht den Vorsatz der unrechtmässigen Verwendung haben.</w:t>
      </w:r>
    </w:p>
    <w:p>
      <w:r>
        <w:t>Selbst wenn man aber annehmen wollte, dass ein Irrtum über ein normatives Tatbestandsmerkmal beziehungsweise konkret der Irrtum über die Rechtmässigkeit der Verwendung eines anvertrauten Vermögenswerts in gewissen Konstellationen als Rechtsirrtum zu qualifizieren sei, ist jedenfalls vorliegend ein solcher nicht gegeben. Der Beschwerdeführer ging irrtümlich davon aus, dass die Verteidigungskosten von B.________ - unter der Voraussetzung, dass dieser gegenüber A.________ rechtmässig gehandelt habe - als Massaverbindlichkeiten zu betrachten und daher der Konkursmasse zu belasten seien. Ein solcher Irrtum ist als Sachverhaltsirrtum zu qualifizieren. Wer irrtümlich annimmt, bestimmte Kosten seien Massaverbindlichkeiten und daher der Konkursmasse zu belasten, hat nicht den Vorsatz, unrechtmässig über die Konkursmasse zu verwenden. Wenn der Irrtum über die Unrechtmässigkeit nicht die Gesamtbewertung der Tat, sondern einen Umstand betrifft, bei dessen Vorliegen das Verhalten des Täters nicht unrechtmässig ist, liegt ein Sachverhaltsirrtum vor (siehe ROXIN, a.a.O., § 12 N. 105 f. zum Irrtum über die Verwerflichkeit der Nötigung im deutschen Strafrecht).</w:t>
      </w:r>
    </w:p>
    <w:p>
      <w:r>
        <w:rPr>
          <w:b/>
        </w:rPr>
        <w:t>E. 3.3</w:t>
      </w:r>
    </w:p>
    <w:p>
      <w:r>
        <w:t>Ob der Beschwerdeführer den Irrtum bei pflichtgemässer Vorsicht hätte vermeiden können (siehe Art. 13 Abs. 2 StGB ), ist hier nicht zu prüfen, da die fahrlässige Veruntreuung nicht strafbar ist.</w:t>
      </w:r>
    </w:p>
    <w:p>
      <w:r>
        <w:rPr>
          <w:b/>
        </w:rPr>
        <w:t>E. 4</w:t>
      </w:r>
    </w:p>
    <w:p>
      <w:r>
        <w:t>Die Beschwerde ist somit gutzuheissen, soweit sie sich gegen das Urteil des Bundesstrafgerichts, Strafkammer, Einzelrichter, vom 10. November 2015 richtet, dieses Urteil ist aufzuheben und die Sache zur neuen Entscheidung an die Vorinstanz zurückzuweisen.</w:t>
      </w:r>
    </w:p>
    <w:p>
      <w:r>
        <w:t>Auf die Beschwerde ist im Übrigen nicht einzutreten, soweit sie sich gegen die Entscheide der Beschwerdekammer des Bundesstrafgerichts vom 18. Juni 2013 und vom 14. Januar 2015 betreffend Aufhebung der Einstellungsverfügungen richtet.</w:t>
      </w:r>
    </w:p>
    <w:p>
      <w:r>
        <w:t>Bei diesem Ausgang des Verfahrens hat der Beschwerdeführer Gerichtskosten in reduziertem Umfang zu tragen und hat ihm die Bundesanwaltschaft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