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186/2021 vom 29. März 2021</w:t>
      </w:r>
    </w:p>
    <w:p>
      <w:r>
        <w:t>Bundesgericht, 2021-03-29, DE</w:t>
      </w:r>
    </w:p>
    <w:p>
      <w:r>
        <w:rPr>
          <w:b/>
        </w:rPr>
        <w:t xml:space="preserve">Quelle: </w:t>
      </w:r>
      <w:r>
        <w:t>https://mcp.opencaselaw.ch/entscheid/bger_6B_186_2021</w:t>
      </w:r>
    </w:p>
    <w:p>
      <w:r>
        <w:t>FR: TF 6B 186/2021 du 29 mars 2021</w:t>
      </w:r>
    </w:p>
    <w:p>
      <w:r>
        <w:t>IT: TF 6B 186/2021 del 29 marzo 2021</w:t>
      </w:r>
    </w:p>
    <w:p>
      <w:pPr>
        <w:pStyle w:val="Heading2"/>
      </w:pPr>
      <w:r>
        <w:t>Regeste</w:t>
      </w:r>
    </w:p>
    <w:p>
      <w:r>
        <w:t>Nichthandnahme (Betrug usw.); Nichteintreten | Strafprozess</w:t>
      </w:r>
    </w:p>
    <w:p>
      <w:pPr>
        <w:pStyle w:val="Heading2"/>
      </w:pPr>
      <w:r>
        <w:t>Erwägungen</w:t>
      </w:r>
    </w:p>
    <w:p>
      <w:r>
        <w:rPr>
          <w:b/>
        </w:rPr>
        <w:t>E. 1</w:t>
      </w:r>
    </w:p>
    <w:p>
      <w:r>
        <w:t>Die Staatsanwaltschaft Zürich-Sihl nahm eine Strafuntersuchung gegen die B.________ GmbH u.a. wegen Betrugs am 11. November 2020 nicht an die Hand. Auf eine dagegen gerichtete Beschwerde trat das Obergericht des Kantons Zürich mit Beschluss vom 8. Februar 2021 nicht ein. Der Beschwerdeführer wendet sich an das Bundesgericht.</w:t>
      </w:r>
    </w:p>
    <w:p>
      <w:r>
        <w:rPr>
          <w:b/>
        </w:rPr>
        <w:t>E. 2</w:t>
      </w:r>
    </w:p>
    <w:p>
      <w:r>
        <w:t>Nach Art. 42 Abs. 2 BGG ist in der Begründung einer Beschwerde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 Gemäss Art. 383 Abs. 1 StPO kann die Verfahrensleitung die Privatklägerschaft verpflichten, innert einer Frist für allfällige Kosten und Entschädigungen Sicherheit zu leisten. Wird die Sicherheit nicht fristgerecht geleistet, so tritt die Rechtsmittelinstanz auf das Rechtsmittel nicht ein ( Art. 383 Abs. 2 StPO ).</w:t>
      </w:r>
    </w:p>
    <w:p>
      <w:r>
        <w:rPr>
          <w:b/>
        </w:rPr>
        <w:t>E. 3</w:t>
      </w:r>
    </w:p>
    <w:p>
      <w:r>
        <w:t>Streitgegenstand ist ausschliesslich der Nichteintretensbeschluss. Vor Bundesgericht kann es daher nur um die Frage gehen, ob die Vorinstanz die Behandlung der kantonalen Beschwerde von der Bezahlung einer Sicherheitsleistung abhängig machen und auf die Beschwerde mangels Leistung der verlangten Sicherheit für allfällige Prozesskosten nicht eintreten durfte. Damit befasst sich der Beschwerdeführer in seiner Beschwerde an das Bundesgericht nicht. Inwiefern die Vorinstanz Art. 383 und Art. 136 StPO verletzt haben könnte, sagt er nicht. Soweit er ausführt, der vorinstanzliche Beschluss verstosse gegen "das Grundgesetz der unentgeltlichen Prozessführung" und die unentgeltliche Prozessführung sei im Grundgesetz verankert und dürfe nicht beschnitten werden, zeigt er nicht auf, dass er im kantonalen Verfahren ein Gesuch um unentgeltliche Rechtspflege gestellt und sich überdies zur Nichtaussichtslosigkeit einer Zivilklage geäussert hätte (vgl. Art. 136 Abs. 1 lit. b StPO ). Nicht zum Verfahrensgegenstand gehört die materielle Seite der Angelegenheit, weshalb sich das Bundesgericht nicht damit befassen kann. Die gerügte Verletzung des rechtlichen Gehörs wird nicht substanziiert begründet, sondern bloss behauptet. Aus der Beschwerde ergibt sich mithin nicht, inwiefern der vorinstanzliche Nichteintretensbeschluss verfassungs- bzw. rechtswidrig sein könnte. Der Begründungsmangel ist offensichtlich. Auf die Beschwerde ist im Verfahren nach Art. 108 BGG nicht einzutreten.</w:t>
      </w:r>
    </w:p>
    <w:p>
      <w:r>
        <w:rPr>
          <w:b/>
        </w:rPr>
        <w:t>E. 4</w:t>
      </w:r>
    </w:p>
    <w:p>
      <w:r>
        <w:t>Bei diesem Ausgang des Verfahrens trägt der Beschwerdeführer die Gerichtskosten ( Art. 66 Abs. 1 BGG ). Seiner finanziellen Lage ist bei der Bemessung der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