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186/2014 vom 3. März 2014</w:t>
      </w:r>
    </w:p>
    <w:p>
      <w:r>
        <w:t>Bundesgericht, 2014-03-03, DE</w:t>
      </w:r>
    </w:p>
    <w:p>
      <w:r>
        <w:rPr>
          <w:b/>
        </w:rPr>
        <w:t xml:space="preserve">Quelle: </w:t>
      </w:r>
      <w:r>
        <w:t>https://mcp.opencaselaw.ch/entscheid/bger_6B_186_2014</w:t>
      </w:r>
    </w:p>
    <w:p>
      <w:r>
        <w:t>FR: TF 6B 186/2014 du 3 mars 2014</w:t>
      </w:r>
    </w:p>
    <w:p>
      <w:r>
        <w:t>IT: TF 6B 186/2014 del 3 marzo 2014</w:t>
      </w:r>
    </w:p>
    <w:p>
      <w:pPr>
        <w:pStyle w:val="Heading2"/>
      </w:pPr>
      <w:r>
        <w:t>Regeste</w:t>
      </w:r>
    </w:p>
    <w:p>
      <w:r>
        <w:t>Disziplinarstrafe | Straf- und Massnahmenvollzug</w:t>
      </w:r>
    </w:p>
    <w:p>
      <w:pPr>
        <w:pStyle w:val="Heading2"/>
      </w:pPr>
      <w:r>
        <w:t>Erwägungen</w:t>
      </w:r>
    </w:p>
    <w:p>
      <w:r>
        <w:rPr>
          <w:b/>
        </w:rPr>
        <w:t>E. 1</w:t>
      </w:r>
    </w:p>
    <w:p>
      <w:r>
        <w:t>X.________ befindet sich seit dem 16. August 2013 in der Justizvollzugsanstalt Pöschwies. Am 5. September 2013 wurde er bei einem angeordneten Multidrogenspeicheltest positiv auf THC getestet. Wegen Verstosses gegen das Drogen- und Alkoholverbot in der Vollzugseinrichtung wurde er mit 14 Tagen Zelleneinschluss, leichtem Gruppenausschluss sowie TV-, Computer- und Spielkonsolenausschluss bestraft. Die dagegen erhobenen Rechtsmittel wiesen die Direktion der Justiz und des Innern am 29. Oktober 2013 und das Verwaltungsgericht des Kantons Zürich am 10. Dezember 2013 ab. X.________ beantragt sinngemäss, das verwaltungsgerichtliche Urteil sei aufzuheben.</w:t>
      </w:r>
    </w:p>
    <w:p>
      <w:r>
        <w:rPr>
          <w:b/>
        </w:rPr>
        <w:t>E. 2</w:t>
      </w:r>
    </w:p>
    <w:p>
      <w:r>
        <w:t>Der Beschwerdeführer bezweifelt vor Bundesgericht die Richtigkeit des Testergebnisses. Wie bereits im kantonalen Verfahren weist er auf eine mögliche Fremdkontaminierung hin. Diese durch nichts belegte Behauptung, welche die Vorinstanz ohne weiteres als unsubstanziierte Schutzbehauptung qualifizieren durfte, genügt den Begründungsanforderungen von Art. 42 Abs. 2 BGG bzw. Art. 106 Abs. 2 BGG nicht. Daraus ergibt sich nicht ansatzweise, inwiefern die Beweiswürdigung der Vorinstanz gegen das Recht im Sinne von Art. 95 BGG verstossen oder willkürlich sein könnte.</w:t>
      </w:r>
    </w:p>
    <w:p>
      <w:r>
        <w:rPr>
          <w:b/>
        </w:rPr>
        <w:t>E. 3</w:t>
      </w:r>
    </w:p>
    <w:p>
      <w:r>
        <w:t>Die Vorinstanz auferlegt dem Beschwerdeführer in Verweigerung seines Gesuchs um unentgeltliche Prozessführung wegen Aussichtslosigkeit Gerichtskosten von Fr. 900.--. Sie stützt sich auf § 16 Abs. 1 sowie auf § 65a Abs. 2 i.V.m. § 13 Abs. 2 des Verwaltungsrechtspflegegesetzes des Kantons Zürich (VRG/ZH). Dass sie die anwendbaren Bestimmungen des VRG/ZH willkürlich angewendet haben könnte, ist weder ersichtlich noch dargetan. Der Hinweis des Beschwerdeführers auf seine prekäre Finanzlage reicht nicht aus, um Willkür darzutun.</w:t>
      </w:r>
    </w:p>
    <w:p>
      <w:r>
        <w:rPr>
          <w:b/>
        </w:rPr>
        <w:t>E. 4</w:t>
      </w:r>
    </w:p>
    <w:p>
      <w:r>
        <w:t>Auf die Beschwerde ist im Verfahren nach Art. 108 BGG nicht einzutreten. Bei diesem Ausgang sind die Gerichtskosten dem Beschwerdeführer aufzuerlegen ( Art. 66 Abs. 1 BGG ). Das Gesuch um unentgeltliche Rechtspflege ist in Anwendung von Art. 64 BGG abzuweisen, weil die Rechtsbegehren aussichtslos erschienen. Der finanziellen Lage des Beschwerdeführers (vgl. Beschwerde S. 36)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