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6B_185/2021 vom 27. Mai 2021</w:t>
      </w:r>
    </w:p>
    <w:p>
      <w:r>
        <w:t>Bundesgericht, 2021-05-27, DE</w:t>
      </w:r>
    </w:p>
    <w:p>
      <w:r>
        <w:rPr>
          <w:b/>
        </w:rPr>
        <w:t xml:space="preserve">Quelle: </w:t>
      </w:r>
      <w:r>
        <w:t>https://mcp.opencaselaw.ch/entscheid/bger_6B_185_2021</w:t>
      </w:r>
    </w:p>
    <w:p>
      <w:r>
        <w:t>FR: TF 6B_185/2021 du 27 mai 2021</w:t>
      </w:r>
    </w:p>
    <w:p>
      <w:r>
        <w:t>IT: TF 6B_185/2021 del 27 maggio 2021</w:t>
      </w:r>
    </w:p>
    <w:p>
      <w:pPr>
        <w:pStyle w:val="Heading2"/>
      </w:pPr>
      <w:r>
        <w:t>Erwägungen</w:t>
      </w:r>
    </w:p>
    <w:p>
      <w:r>
        <w:rPr>
          <w:b/>
        </w:rPr>
        <w:t>E. 1</w:t>
      </w:r>
    </w:p>
    <w:p>
      <w:r>
        <w:t>Mit Verfügung vom 6. Oktober 2020 stellte die Regionale Staatsanwaltschaft Oberland das vom Beschwerdeführer gegen Mitarbeitende der Bewährungs- und Vollzugsdienste des Kantons Bern (nachfolgend: BVD/BE) und der Sicherheitsdirektion des Kantons Bern (nachfolgend: SID/BE) initiierte Strafverfahren wegen Freiheitsberaubung, Amtsmissbrauchs und Verleumdung bzw. Diskriminierung und Dienstpflichtverweigerung ein. Die vom Beschwerdeführer dagegen erhobene Beschwerde wies das Obergericht des Kantons Bern am 6. Januar 2021 ab, soweit es darauf eintrat.</w:t>
      </w:r>
    </w:p>
    <w:p>
      <w:r>
        <w:t>Der Beschwerdeführer gelangt gegen den Entscheid vom 6. Januar 2021 mit Beschwerde in Strafsachen an das Bundesgericht.</w:t>
      </w:r>
    </w:p>
    <w:p>
      <w:r>
        <w:rPr>
          <w:b/>
        </w:rPr>
        <w:t>E. 2</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 131 I 455 E. 1.2.4; je mit Hinweisen).</w:t>
      </w:r>
    </w:p>
    <w:p>
      <w:r>
        <w:t>Richtet sich die Beschwerde gegen die Einstellung oder Nichtanhandnahme eines Verfahrens, hat die Privatklägerschaft im Strafverfahren nicht notwendigerweise bereits vor den kantonalen Behörden Zivilansprüche geltend gemacht (vgl. Art. 118 Abs. 3 und Art. 123 Abs. 2 StPO ). Die Privatklägerschaft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Der Beschwerdeführer zeigt nicht auf, dass und inwiefern ihm gegenüber den angezeigten Personen Schadenersatz- oder Genugtuungsansprüche im Sinne von Art. 41 ff. OR zustehen könnten. Der Kanton Bern haftet für den Schaden, den Mitarbeiter in Ausübung ihrer amtlichen Tätigkeit Dritten widerrechtlich zugefügt haben (Art. 100 Abs. 1 des Personalgesetzes des Kantons Bern vom 16. September 2004 [PG/BE]). Die verantwortlichen Personen können von Dritten nicht belangt werden ( Art. 102 Abs. 1 PG /BE). Schadenersatz- oder Genugtuungsansprüche des Beschwerdeführers gegen die angezeigten Personen sind bereits deshalb nicht ersichtlich. Der Beschwerdeführer ist in der Sache mangels Zivilforderungen folglich nicht im Sinne von Art. 81 Abs. 1 lit. b Ziff. 5 BGG zur Beschwerde in Strafsachen legitimiert.</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t>Solche formellen Rügen erhebt der Beschwerdeführer nicht. Soweit er in seiner weitschweifigen Beschwerdeschrift beispielsweise rügt, die vorinstanzlichen Richter seien parteiisch und voreingenommen, und eine Verletzung seines Anspruchs auf rechtliches Gehör geltend macht, zielt seine Kritik auf eine Überprüfung in der Sache selbst ab, da der Beschwerdeführer seine Rüge mit der seines Erachtens unzulässigen Verfahrenseinstellung begründet. Darauf ist nicht einzutreten. Eine formelle Rechtsverweigerung im Sinne der "Star-Praxis" ist nicht rechtsgenügend dargetan (vgl. Art. 42 Abs. 2 und Art. 106 Abs. 2 BGG ).</w:t>
      </w:r>
    </w:p>
    <w:p>
      <w:r>
        <w:rPr>
          <w:b/>
        </w:rPr>
        <w:t>E. 5</w:t>
      </w:r>
    </w:p>
    <w:p>
      <w:r>
        <w:t>Auf die Beschwerde ist im Verfahren nach Art. 108 BGG nicht einzutreten. 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