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185/2013 vom 22. Januar 2014</w:t>
      </w:r>
    </w:p>
    <w:p>
      <w:r>
        <w:t>Bundesgericht, 2014-01-22, FR</w:t>
      </w:r>
    </w:p>
    <w:p>
      <w:r>
        <w:rPr>
          <w:b/>
        </w:rPr>
        <w:t xml:space="preserve">Quelle: </w:t>
      </w:r>
      <w:r>
        <w:t>https://mcp.opencaselaw.ch/entscheid/bger_6B_185_2013</w:t>
      </w:r>
    </w:p>
    <w:p>
      <w:r>
        <w:t>FR: TF 6B 185/2013 du 22 janvier 2014</w:t>
      </w:r>
    </w:p>
    <w:p>
      <w:r>
        <w:t>IT: TF 6B 185/2013 del 22 gennaio 2014</w:t>
      </w:r>
    </w:p>
    <w:p>
      <w:pPr>
        <w:pStyle w:val="Heading2"/>
      </w:pPr>
      <w:r>
        <w:t>Regeste</w:t>
      </w:r>
    </w:p>
    <w:p>
      <w:r>
        <w:t>Ordonnance de non-entrée en matière, qualité pour recourir, frais de procédure | Procédure pénale</w:t>
      </w:r>
    </w:p>
    <w:p>
      <w:pPr>
        <w:pStyle w:val="Heading2"/>
      </w:pPr>
      <w:r>
        <w:t>Erwägungen</w:t>
      </w:r>
    </w:p>
    <w:p>
      <w:r>
        <w:rPr>
          <w:b/>
        </w:rPr>
        <w:t>E. 1</w:t>
      </w:r>
    </w:p>
    <w:p>
      <w:r>
        <w:t>Posté le 20 mars 2013, le mémoire complémentaire l'a été après l'échéance du délai de recours, de sorte qu'il est irrecevable (cf. art. 100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Les mêmes exigences sont requises à l'égard de celui qui se plaint d'infractions attentatoires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2.2</w:t>
      </w:r>
    </w:p>
    <w:p>
      <w:r>
        <w:t>Le recourant, qui se plaint des circonstances dans lesquelles s'est opéré le transfert d'établissement scolaire de son fils C.________, évoque un litige de nature administrative dont on ne voit pas en quoi il serait susceptible d'influer sur des prétentions civiles, cela d'autant moins que l'intéressé ne s'exprime nullement sur une éventuelle action en responsabilité directe contre l'Etat. S'agissant de sa plainte aux chefs de calomnie, injure et diffamation, il n'explique pas davantage en quoi résiderait le dommage ou le préjudice moral qu'il aurait subi, pas plus que l'importance de celui-ci. Or,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Cela étant, le recourant ne démontre pas que les conditions posées à l'art. 81 al. 1 let. b ch. 5 LTF seraient réunies, alors même que cela n'a rien d'évident. L'absence de toute explication suffit à exclure sa qualité pour recourir à cet égard, de sorte que le recours est irrecevable en tant qu'il porte sur le fond de la cause.</w:t>
      </w:r>
    </w:p>
    <w:p>
      <w:r>
        <w:rPr>
          <w:b/>
        </w:rPr>
        <w:t>E. 2.3</w:t>
      </w:r>
    </w:p>
    <w:p>
      <w:r>
        <w:t>Le recourant ne dénonce pas non plus, de manière conforme aux exigences de l' art. 106 al. 2 LTF , une violation de ses droits de partie à la procédure équivalant à un déni de justice formel, ce qui ne lui permettrait d'ailleurs pas de faire valoir par ce biais, même indirectement, des moyens qui ne peuvent être séparés du fond (cf. ATF 136 IV 29 consid. 1.9 et les réf. cit.).</w:t>
      </w:r>
    </w:p>
    <w:p>
      <w:r>
        <w:rPr>
          <w:b/>
        </w:rPr>
        <w:t>E. 3.1</w:t>
      </w:r>
    </w:p>
    <w:p>
      <w:r>
        <w:t>En revanche, le recourant est légitimé à se plaindre d'une violation de son droit de porter plainte ( art. 81 al. 1 ch. 6 LTF ). En effet, la juridiction cantonale a considéré que le 13 août 2012, il était forclos pour se plaindre d'atteinte à l'honneur contre Mes D.________ et E.________, dès lors qu'il avait pris connaissance des allégations litigieuses par courriers des 30 novembre 2011 et 7 décembre 2011. Selon le recourant, le dies a quo n'a commencé à courir qu'à partir du moment où il a connu et pu démontrer la fausseté des propos attentatoires à l'honneur prétendument tenus contre lui par les intimés. Cette information ne lui étant parvenue qu'à réception du courrier que la préfecture de la Sarine lui a adressé le 25 juin 2012, il estime que la plainte pénale déposée le 13 août 2012 l'aurait donc été en temps voulu.</w:t>
      </w:r>
    </w:p>
    <w:p>
      <w:r>
        <w:rPr>
          <w:b/>
        </w:rPr>
        <w:t>E. 3.2</w:t>
      </w:r>
    </w:p>
    <w:p>
      <w:r>
        <w:t>Selon l' art. 31 CP - auquel renvoie l' art. 178 al. 2 CP -, le délai de plainte est de trois mois.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 ATF 121 IV 272 consid. 2a p. 275; 101 IV 113 consid. 1b p. 116 et les arrêts cités; arrêt 6S.33/2007 du 20 avril 2007 consid. 5).</w:t>
      </w:r>
    </w:p>
    <w:p>
      <w:r>
        <w:rPr>
          <w:b/>
        </w:rPr>
        <w:t>E. 3.3</w:t>
      </w:r>
    </w:p>
    <w:p>
      <w:r>
        <w:t>Le recourant considère comme attentatoire à son honneur le fait de lui opposer de n'avoir pas pris soin de s'informer au sujet de la situation personnelle de C.________, de s'être opposé par principe à tout changement scolaire, de ne pas s'être intéressé au bien-être et à l'avenir de son fils, d'avoir instrumentalisé celui-ci pour régler ses comptes avec son épouse, d'avoir fait montre d'un comportement irréfléchi et de n'avoir pas été en mesure d'agir en situation d'urgence (cf. recours ch. 39.1 p. 17). Ces allégations ressortent de la requête de mesures provisionnelles urgentes tendant à autoriser l'inscription de C.________ dans une école privée déposée le 1er décembre 2011 par M e E.________. Cette écriture ayant été transmise au recourant pour qu'il se détermine à son sujet (cf. arrêt attaqué p. 2 lettre B. § 2), il est ainsi établi qu'il a pris connaissance des propos litigieux au cours du mois de décembre 2011, ainsi qu'il l'admet lui-même (cf. recours ch. 39 p. 17). Selon les constatations cantonales que l'intéressé ne conteste pas ( art. 105 LTF ), les informations dont il a pris connaissance en juin 2012 portaient sur l'état de santé de C.________ et les motifs du congé scolaire octroyé à celui-ci en fin d'année 2011. Comme retenu par la Chambre cantonale, ces renseignements n'ont fait que préciser au recourant les difficultés auxquelles l'enfant s'est trouvé confronté en fin d'année 2011. Pour autant, leur contenu n'apporte aucun éclairage supplémentaire susceptible de justifier le report du dies a quo du délai de plainte, les déclarations litigieuses se suffisant à elles-mêmes. Au demeurant, la connaissance de la fausseté d'allégations attentatoires à l'honneur au sens de l' art. 174 CP ne constitue un élément juridiquement pertinent qu'en tant qu'elle concerne l'auteur présumé de l'infraction pour qui elle entraîne, le cas échéant, une aggravation de la qualification juridique, respectivement de sa condamnation. Sur ce point, il est renvoyé au considérant pertinent 4e) aa) de l'arrêt attaqué (cf. art. 109 al. 3 LTF ). Sur le vu de ce qui précède, le grief se révèle mal fondé.</w:t>
      </w:r>
    </w:p>
    <w:p>
      <w:r>
        <w:rPr>
          <w:b/>
        </w:rPr>
        <w:t>E. 4</w:t>
      </w:r>
    </w:p>
    <w:p>
      <w:r>
        <w:t>Enfin, le recourant conteste sa condamnation aux frais de la procédure.</w:t>
      </w:r>
    </w:p>
    <w:p>
      <w:r>
        <w:rPr>
          <w:b/>
        </w:rPr>
        <w:t>E. 4.1</w:t>
      </w:r>
    </w:p>
    <w:p>
      <w:r>
        <w:t>S'agissant de la plainte pénale à l'encontre de B.X.________, il conteste en particulier le fait que la présente procédure portât sur les mêmes faits que ceux qu'il a dénoncés le 28 mai 2012 et qui ont été classés par ordonnance de non-entrée en matière rendue le 3 août 2012. Il est constant que le 28 mai 2012, le recourant a dénoncé son épouse pour violation des obligations scolaires, attendu que C.________ avait été absent de l'école du 28 novembre au 9 décembre 2011. Le 13 août 2012, il a porté plainte contre elle en raison des circonstances ayant entouré le changement d'établissement scolaire de C.________ survenu le 5 décembre 2011. Même si les dispositions légales invoquées ne sont pas les mêmes, ce sont bel et bien les mêmes faits - soit les difficultés scolaires endurées par C.________ en novembre et décembre 2011, lesquelles ont abouti à son changement d'établissement scolaire - que le recourant a portés en justice. En saisissant ainsi les autorités de faits identiques à moins de trois mois d'intervalle, il a agi sans peser consciencieusement le pour et le contre de la situation ( JOËLLE CHAPPUIS, in Commentaire Romand, n° 5 ad art. 427 al. 2 CPP ), soit avec témérité au sens de l' art. 427 al. 2 CPP . Sa condamnation aux frais n'est par conséquent pas critiquable.</w:t>
      </w:r>
    </w:p>
    <w:p>
      <w:r>
        <w:rPr>
          <w:b/>
        </w:rPr>
        <w:t>E. 4.2</w:t>
      </w:r>
    </w:p>
    <w:p>
      <w:r>
        <w:t>Quant aux frais mis à sa charge pour les autres infractions dénoncées, il est renvoyé aux développements contenus dans l'arrêt attaqué (p. 10). Il en ressort en bref que le recourant utilise la procédure pénale pour des motifs infondés en s'efforçant de criminaliser n'importe quel comportement. C'est à juste titre que la cour cantonale a retenu qu'il procédait de manière abusive. Dans ces conditions, elle pouvait lui réclamer le dédommagement des frais en application de l' art. 420 let. a CPP (cf. arrêt 6B_5/2013 du 19 février 2013 consid. 2.7 qui concernait déjà le recourant). Sa solution ne prête ainsi pas à critique dans son résultat.</w:t>
      </w:r>
    </w:p>
    <w:p>
      <w:r>
        <w:rPr>
          <w:b/>
        </w:rPr>
        <w:t>E. 5</w:t>
      </w:r>
    </w:p>
    <w:p>
      <w:r>
        <w:t>Le recourant, qui succombe, supporte les frais judiciaires ( art. 66 al. 1 LTF ), sa demande d'assistance judiciaire ayant été rejetée par ordonnance incidente du 14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