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6B_183/2018 vom 31. Oktober 2018</w:t>
      </w:r>
    </w:p>
    <w:p>
      <w:r>
        <w:t>Bundesgericht, 2018-10-31, DE</w:t>
      </w:r>
    </w:p>
    <w:p>
      <w:r>
        <w:rPr>
          <w:b/>
        </w:rPr>
        <w:t xml:space="preserve">Quelle: </w:t>
      </w:r>
      <w:r>
        <w:t>https://mcp.opencaselaw.ch/entscheid/bger_6B_183_2018</w:t>
      </w:r>
    </w:p>
    <w:p>
      <w:r>
        <w:t>FR: TF 6B_183/2018 du 31 octobre 2018</w:t>
      </w:r>
    </w:p>
    <w:p>
      <w:r>
        <w:t>IT: TF 6B_183/2018 del 31 ottobre 2018</w:t>
      </w:r>
    </w:p>
    <w:p>
      <w:pPr>
        <w:pStyle w:val="Heading2"/>
      </w:pPr>
      <w:r>
        <w:t>Erwägungen</w:t>
      </w:r>
    </w:p>
    <w:p>
      <w:r>
        <w:rPr>
          <w:b/>
        </w:rPr>
        <w:t>E. 1</w:t>
      </w:r>
    </w:p>
    <w:p>
      <w:r>
        <w:t>Die Beschwerdeführerin rügt, die Vorinstanz treffe keine eigenen Feststellungen zur konkreten Tathandlung. Sie verweise lediglich auf das erstinstanzliche Urteil, ohne sich mit ihren diesbezüglichen Rügen zu befassen. Dies verletze ihren Anspruch auf rechtliches Gehör (Beschwerde, S. 6 f.).</w:t>
      </w:r>
    </w:p>
    <w:p>
      <w:r>
        <w:t>Die Beschwerdeführerin kritisierte im vorinstanzlichen Verfahren die Sachverhaltsfeststellung des Strafgerichts. Sie brachte namentlich vor, sie habe nicht von oben nach unten auf A.________ eingestochen, sondern nur eine kleine horizontale Stichbewegung ausgeführt. Zuvor sei sie A.________ gegenübergestanden und habe das Taschenmesser gegen ihn gerichtet; ihr Verhalten sei insgesamt eher abwartend und unentschlossen gewesen. Im Rahmen ihrer Vorbringen setzte sich die Beschwerdeführerin sowohl mit der Zeugenaussage von B.________ als auch mit dem Inhalt des Überwachungsvideos auseinander (kantonale Akten, act. 521 ff. und 577 ff.). Die Vorinstanz geht darauf nicht ein und verweist in Anwendung von Art. 82 Abs. 4 StPO auf die Begründung des Strafgerichts mit dem Hinweis, dass im Berufungsverfahren nichts geltend gemacht worden wäre, was von diesem nicht bereits korrekt gewürdigt worden wäre oder das zu einem abweichenden Beweisergebnis führen würde (Urteil, S. 4 f.).</w:t>
      </w:r>
    </w:p>
    <w:p>
      <w:r>
        <w:t>Der schlichte Verweis auf die erstinstanzliche Begründung gemäss Art. 82 Abs. 4 StPO ist unzulässig, wenn gerade diese Begründung als unzutreffend gerügt wird (Urteil 6B_848/2015 vom 8. Februar 2016 E. 3.4 mit Hinweis). Ausserdem ist eine eingehende Auseinandersetzung mit den Vorbringen der Beschwerdeführerin zum genauen Tathergang unerlässlich, zumal die Frage, ob das Opfer eine Abwehrchance hatte, bei der Beurteilung des Eventualvorsatzes von Bedeutung ist ( BGE 133 IV 1 E. 4.5; Urteil 6B_149/2017 vom 16. Februar 2018 E. 3.3.2; je mit Hinweisen). Die Rüge, die Vorinstanz habe das rechtliche Gehör verletzt, ist begründet.</w:t>
      </w:r>
    </w:p>
    <w:p>
      <w:r>
        <w:rPr>
          <w:b/>
        </w:rPr>
        <w:t>E. 2</w:t>
      </w:r>
    </w:p>
    <w:p>
      <w:r>
        <w:t>Die Beschwerde ist gutzuheissen. Das angefochtene Urteil ist aufzuheben und die Sache zu neuer Entscheidung an die Vorinstanz zurückzuweisen. Es erübrigt sich, auf die weiteren Rügen der Beschwerdeführerin einzugehen. Das Gesuch um aufschiebende Wirkung ist mit dem Entscheid in der Sache gegenstandslos geworden.</w:t>
      </w:r>
    </w:p>
    <w:p>
      <w:r>
        <w:t>Für das bundesgerichtliche Verfahren sind keine Kosten zu erheben ( Art. 66 Abs. 1 und 4 BGG ). Die Beschwerdeführerin hat Anspruch auf eine angemessene Parteientschädigung ( Art. 68 Abs. 2 BGG ). Diese ist praxisgemäss dem Rechtsvertreter auszurichten. Das Gesuch der Beschwerdeführerin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