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180/2017 vom 6. März 2017</w:t>
      </w:r>
    </w:p>
    <w:p>
      <w:r>
        <w:t>Bundesgericht, 2017-03-06, FR</w:t>
      </w:r>
    </w:p>
    <w:p>
      <w:r>
        <w:rPr>
          <w:b/>
        </w:rPr>
        <w:t xml:space="preserve">Quelle: </w:t>
      </w:r>
      <w:r>
        <w:t>https://mcp.opencaselaw.ch/entscheid/bger_6B_180_2017</w:t>
      </w:r>
    </w:p>
    <w:p>
      <w:r>
        <w:t>FR: TF 6B 180/2017 du 6 mars 2017</w:t>
      </w:r>
    </w:p>
    <w:p>
      <w:r>
        <w:t>IT: TF 6B 180/2017 del 6 marzo 2017</w:t>
      </w:r>
    </w:p>
    <w:p>
      <w:pPr>
        <w:pStyle w:val="Heading2"/>
      </w:pPr>
      <w:r>
        <w:t>Regeste</w:t>
      </w:r>
    </w:p>
    <w:p>
      <w:r>
        <w:t>Ordonnance de non-entrée en matière (infractions contre le patrimoine, contre l'honneur, insoumission à une décision de l'autorité); qualité pour recourir au Tribunal fédéral | Procédure pénale</w:t>
      </w:r>
    </w:p>
    <w:p>
      <w:pPr>
        <w:pStyle w:val="Heading2"/>
      </w:pPr>
      <w:r>
        <w:t>Erwägungen</w:t>
      </w:r>
    </w:p>
    <w:p>
      <w:r>
        <w:rPr>
          <w:b/>
        </w:rPr>
        <w:t>E. 1</w:t>
      </w:r>
    </w:p>
    <w:p>
      <w:r>
        <w:t>Par ordonnance du 28 décembre 2016, le Juge de la Chambre pénale du Tribunal cantonal du canton du Valais a rejeté le recours formé par A.________ et B.________ contre l'ordonnance de non-entrée en matière rendue le 20 juin 2016 sur leur plainte pénale contre C.________, D.________ et E.________ pour des atteintes principalement à l'honneur et au patrimoine, ainsi que pour insoumission à une décision de l'autorité.</w:t>
      </w:r>
    </w:p>
    <w:p>
      <w:r>
        <w:rPr>
          <w:b/>
        </w:rPr>
        <w:t>E. 2</w:t>
      </w:r>
    </w:p>
    <w:p>
      <w:r>
        <w:t>A.________ et B.________ recourent en matière pénale au Tribunal fédéral contre l'ordonnance du 28 décembre 2016, concluant, avec suite de dépens, à l'annulation de celle-ci et au renvoi de la cause en instance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2.2</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w:t>
      </w:r>
    </w:p>
    <w:p>
      <w:r>
        <w:rPr>
          <w:b/>
        </w:rPr>
        <w:t>E. 2.3</w:t>
      </w:r>
    </w:p>
    <w:p>
      <w:r>
        <w:t>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rPr>
          <w:b/>
        </w:rPr>
        <w:t>E. 2.4</w:t>
      </w:r>
    </w:p>
    <w:p>
      <w:r>
        <w:t>En l'espèce, les recourants indiquent s'être constitués parties plaignantes dans leur plainte pénale et y avoir précisé que d'éventuelles prétentions civiles seraient chiffrées ultérieurement (cf. recours ch. 2 p. 4). Ce faisant, ils ne se déterminent nullement à satisfaction de droit sur un éventuel tort moral ou dommage, ni sur leur principe ni sur leur quotité, pas plus qu'ils n'indiquent par rapport à chaque infraction en quoi consisterait le dommage en résultant (cf. arrêt 6B_914/2013 du 27 février 2014 consid. 1.2). Le défaut d'explication suffisante sur la question des prétentions civiles exclut leur qualité pour recourir sur le fond de la cause.</w:t>
      </w:r>
    </w:p>
    <w:p>
      <w:r>
        <w:rPr>
          <w:b/>
        </w:rPr>
        <w:t>E. 2.5</w:t>
      </w:r>
    </w:p>
    <w:p>
      <w:r>
        <w:t>L'hypothèse visée à l'art. 81 al. 1 let. b ch. 6 LTF n'entre pas en considération, les recourants ne soulevant aucun grief recevable quant à leur droit de porter plainte (cf. art 42 al. 2 et 106 al. 2 LTF).</w:t>
      </w:r>
    </w:p>
    <w:p>
      <w:r>
        <w:rPr>
          <w:b/>
        </w:rPr>
        <w:t>E. 2.6</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2.7</w:t>
      </w:r>
    </w:p>
    <w:p>
      <w:r>
        <w:t>Sur le vu de ce qui précède, le recours doit être déclaré irrecevable selon la procédure simplifiée prévue par l' art. 108 al. 1 let. a et b LTF .</w:t>
      </w:r>
    </w:p>
    <w:p>
      <w:r>
        <w:rPr>
          <w:b/>
        </w:rPr>
        <w:t>E. 3</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