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17/2020 vom 7. April 2020</w:t>
      </w:r>
    </w:p>
    <w:p>
      <w:r>
        <w:t>Bundesgericht, 2020-04-07, FR</w:t>
      </w:r>
    </w:p>
    <w:p>
      <w:r>
        <w:rPr>
          <w:b/>
        </w:rPr>
        <w:t xml:space="preserve">Quelle: </w:t>
      </w:r>
      <w:r>
        <w:t>https://mcp.opencaselaw.ch/entscheid/bger_6B_17_2020</w:t>
      </w:r>
    </w:p>
    <w:p>
      <w:r>
        <w:t>FR: TF 6B 17/2020 du 7 avril 2020</w:t>
      </w:r>
    </w:p>
    <w:p>
      <w:r>
        <w:t>IT: TF 6B 17/2020 del 7 aprile 2020</w:t>
      </w:r>
    </w:p>
    <w:p>
      <w:pPr>
        <w:pStyle w:val="Heading2"/>
      </w:pPr>
      <w:r>
        <w:t>Regeste</w:t>
      </w:r>
    </w:p>
    <w:p>
      <w:r>
        <w:t>Non-entrée en matière (calomnie, diffamation, etc.)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(cf. parmi d'autres: arrêts 6B_175/2020 du 2 mars 2020 consid. 2.1; 6B_673/2019 du 31 octobre 2019 consid. 1.1; 6B_1043/2019 du 26 septembre 2019 consid. 2.2; 6B_637/2019 du 8 août 2019 consid. 1.2).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6B_1047/2019 du 15 janvier 2020 consid. 2.1; 6B_673/2019 précité consid. 1.1; 6B_1043/2019 précité consid. 2.2; 6B_637/2019 précité consid. 1.2).</w:t>
      </w:r>
    </w:p>
    <w:p>
      <w:r>
        <w:rPr>
          <w:b/>
        </w:rPr>
        <w:t>E. 1.2</w:t>
      </w:r>
    </w:p>
    <w:p>
      <w:r>
        <w:t>En l'espèce, le recourant soutient qu'il souffre de stress aigu en raison de la campagne de dénigrement menée par l'intimé, qui l'affaiblirait, tant dans son état psychique que physique. Pour étayer son allégation, il produit un certificat médical du 11 juillet 2017 dont le libellé est le suivant: " je soussigné, F.________, docteur en médecine, certifie avoir vu ce jour en consultation Monsieur A.________, né en 1964, dont l'anamnèse et l'examen physique retrouvent ce jour des manifestations psychosomatiques de stress et angoisse réactionnels... ". Ce certificat parle uniquement de stress et d'angoisse. Il n'apparaît donc pas que l'atteinte à la santé subie par le recourant atteindrait la gravité objective et subjective que la jurisprudence exige pour l'allocation d'une indemnité pour tort moral (cf. art. 49 CO ; ATF 131 III 26 consid. 12.1 p. 29). En outre, le certificat médical ne précise pas l'origine de l'atteinte à la santé. Dans ces conditions, il faut admettre que le recourant n'a pas établi une souffrance morale suffisante permettant de prétendre à une prétention pour tort moral. Le recourant allègue également une perte de chiffre d'affaires dans son activité autour du loup. Il déclare se heurter à des refus de soutien financier et à la renonciation ou remise en cause de certains mandats et partenariats par crainte de polémiques ou représailles. Ce faisant, il invoque un dommage qui résulte indirectement des agissements dénoncés (cf. arrêts 6B_1047/2019 du 15 janvier 2020 consid. 2.3; 6B_1043/2019 du 26 septembre 2019 consid. 2.2). A défaut d'une motivation suffisante sur les prétentions civiles, le recourant n'a donc pas la qualité pour recourir sur le fond en application de l'art. 81 al. 1 let. b ch. 5 LTF.</w:t>
      </w:r>
    </w:p>
    <w:p>
      <w:r>
        <w:rPr>
          <w:b/>
        </w:rPr>
        <w:t>E. 1.3</w:t>
      </w:r>
    </w:p>
    <w:p>
      <w:r>
        <w:t>L'hypothèse visée à l'art. 81 al. 1 let. b ch. 6 LTF n'entre pas en considération dans le cas d'espèce, dès lors que le recourant ne formule aucun grief relatif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En l'espèce, le recourant se plaint d'un déni de justice, au motif que la cour cantonale ne s'est pas prononcée sur le caractère attentatoire à l'honneur du titre du film de l'intimé (mémoire de recours p. 14). La cour cantonale a exposé globalement que le film de l'intimé, diffusé sur Youtube, constituait une démonstration objective de l'inefficacité des mesures prônées par le recourant pour la protection des troupeaux contre les attaques du loup et que les éventuelles critiques adressées au recourant ne visaient que son activité professionnelle. Le grief soulevé par le recourant porte ainsi plus sur la motivation de la décision cantonale que sur une carence assimilable à une absence de décision constituant un déni de justice. Le moyen n'est donc pas séparé du fond. Il est partant irrecevable.</w:t>
      </w:r>
    </w:p>
    <w:p>
      <w:r>
        <w:rPr>
          <w:b/>
        </w:rPr>
        <w:t>E. 2</w:t>
      </w:r>
    </w:p>
    <w:p>
      <w:r>
        <w:t>Le recours est irrecevable. Le recourant qui succombe devra supporter les frais judiciaires ( art. 66 al. 1 LTF ). Il n'y a pas lieu d'allouer d'indemnité à l'intimé qui n'a pas été invité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