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17/2009 vom 16. März 2009</w:t>
      </w:r>
    </w:p>
    <w:p>
      <w:r>
        <w:t>Bundesgericht, 2009-03-16, FR</w:t>
      </w:r>
    </w:p>
    <w:p>
      <w:r>
        <w:rPr>
          <w:b/>
        </w:rPr>
        <w:t xml:space="preserve">Quelle: </w:t>
      </w:r>
      <w:r>
        <w:t>https://mcp.opencaselaw.ch/entscheid/bger_6B_17_2009</w:t>
      </w:r>
    </w:p>
    <w:p>
      <w:r>
        <w:t>FR: TF 6B 17/2009 du 16 mars 2009</w:t>
      </w:r>
    </w:p>
    <w:p>
      <w:r>
        <w:t>IT: TF 6B 17/2009 del 16 marzo 2009</w:t>
      </w:r>
    </w:p>
    <w:p>
      <w:pPr>
        <w:pStyle w:val="Heading2"/>
      </w:pPr>
      <w:r>
        <w:t>Regeste</w:t>
      </w:r>
    </w:p>
    <w:p>
      <w:r>
        <w:t>Abus de confiance (art. 138 CP) | Infractions</w:t>
      </w:r>
    </w:p>
    <w:p>
      <w:pPr>
        <w:pStyle w:val="Heading2"/>
      </w:pPr>
      <w:r>
        <w:t>Erwägungen</w:t>
      </w:r>
    </w:p>
    <w:p>
      <w:r>
        <w:rPr>
          <w:b/>
        </w:rPr>
        <w:t>E. 1</w:t>
      </w:r>
    </w:p>
    <w:p>
      <w:r>
        <w:t>Le recours en matière pénale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Saisi d'un recours en matière pénale, le Tribunal fédéral ne réexamine l'établissement des faits - sous réserve de l'allégation d'une violation du droit au sens de l' art. 95 LTF - que lorsqu'il est entaché d'inexactitude manifeste ( art. 97 al. 1 LTF ), à savoir d'arbitraire ( ATF 134 IV 36 , consid. 1.4.1). Il ne suffit pas que le recourant discute de nombreux éléments de preuve, en opposant sa propre appréciation à celle de la cour cantonale. Il doit indiquer, sous peine d'irrecevabilité, quel aspect de la décision attaquée lui paraît insoutenable et en quoi consiste l'arbitraire ( art. 106 al. 2 LTF ). Le Tribunal fédéral n'entre pas en matière sur les critiques de nature appellatoire ( ATF 133 III 393 consid. 6 p. 397).</w:t>
      </w:r>
    </w:p>
    <w:p>
      <w:r>
        <w:rPr>
          <w:b/>
        </w:rPr>
        <w:t>E. 2</w:t>
      </w:r>
    </w:p>
    <w:p>
      <w:r>
        <w:t>Le recourant conteste sa condamnation pour abus de confiance. Il soutient que, sur le plan objectif, les fonds ne lui étaient pas confiés au sens de l' art. 138 ch. 1 CP , dès lors qu'il avait développé la boutique « Gift Shop » de sa propre initiative et sans aucune aide de l'Organisation A.________. Il fait valoir, sur le plan subjectif, qu'il n'a jamais eu le dessein de s'enrichir illégitimement, car il se pensait en droit de retirer cette somme pour compenser son activité au sein de la boutique.</w:t>
      </w:r>
    </w:p>
    <w:p>
      <w:r>
        <w:rPr>
          <w:b/>
        </w:rPr>
        <w:t>E. 2.1.1</w:t>
      </w:r>
    </w:p>
    <w:p>
      <w:r>
        <w:t>Sur le plan objectif, l' art. 138 ch. 1 al. 2 CP suppose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L'alinéa 2 de l' 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p. 259 et les références citées). S'agissant du transfert d'une somme d'argent, on peut concevoir deux hypothèses: soit les fonds sont confiés à l'auteur par celui qui les lui remet, soit les fonds sont confiés par celui en faveur duquel l'auteur les encaisse. Pour que l'on puisse parler d'une somme confiée, il faut cependant que l'auteur agisse comme auxiliaire du paiement ou de l'encaissement, en tant que représentant direct ou indirect, notamment comme employé d'une entreprise, organe d'une personne morale ou fiduciaire.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 ATF 118 IV 239 consid. 2b, spéc. p. 241 s. et les références citées).</w:t>
      </w:r>
    </w:p>
    <w:p>
      <w:r>
        <w:rPr>
          <w:b/>
        </w:rPr>
        <w:t>E. 2.1.2</w:t>
      </w:r>
    </w:p>
    <w:p>
      <w:r>
        <w:t>En l'espèce, le recourant a développé le « Gift Shop » de sa propre initiative, sans aucune aide de l'Organisation A.________. De l'ensemble des faits retenus, il ressort cependant qu'il n'a pas agi à titre privé, mais en tant qu'employé de l'Organisation A.________, dans le cadre de son activité pour l'association du personnel. Comme le recourant l'a du reste admis, les bénéfices de la boutique revenaient à la Commission B.________, C'est ainsi que le produit des ventes était versé sur un sous-compte bancaire de la Commission B.________, sous la rubrique « Gift Shop ». Au début, le recourant avait une signature collective avec le trésorier de la Commission B.________. Ce n'est que pour des raisons pratiques qu'il a obtenu, avec l'approbation de la Commission B.________, la signature individuelle. Les factures, libellées au nom du « Gift Shop - Organisation A.________ », étaient acquittées par le débit du compte « Gift Shop ». Enfin, la comptabilité de la boutique était apparue à partir d'une certaine période dans le rapport d'activité annuel de la Commission B.________, respectivement de l'association des membres du personnel. Dans la mesure où les bénéfices de la boutique revenaient à la Commission B.________, le recourant ne pouvait en disposer à des fins personnelles. Il ne pouvait utiliser les fonds déposés sur le compte « Gift Shop » qu'aux fins de s'acquitter des factures et de procéder à l'encaissement des produits des ventes. En prélevant de ce compte le montant de 60'000 francs pour ses propres besoins, il s'est écarté de la destination fixée et a employé les fonds qui lui étaient confiés de manière illicite. Les conditions objectives de l'abus de confiance sont donc réalisées. Les griefs soulevés doivent être rejetés.</w:t>
      </w:r>
    </w:p>
    <w:p>
      <w:r>
        <w:rPr>
          <w:b/>
        </w:rPr>
        <w:t>E. 2.2.1</w:t>
      </w:r>
    </w:p>
    <w:p>
      <w:r>
        <w:t>Du point de vue subjectif, l'auteur doit avoir agi intentionnellement et, même si la loi ne le dit pas expressément, dans un dessein d'enrichissement illégitime. L'enrichissement réside ordinairement dans la valeur du bien obtenu, ou encore dans la valeur d'aliénation ou d'usage. Il ne sera pas illégitime si l'auteur y a droit (ou croit qu'il y a droit en raison d'une erreur sur les faits). Le dessein d'enrichissement illégitime fait notamment défaut si, au moment de l'emploi illicite de la valeur patrimoniale confiée, l'auteur en paie la contre-valeur (cf. ATF 107 IV 166 consid. 2a p. 167), s'il avait, à tout moment ou, le cas échéant, à la date convenue à cet effet, la volonté et la possibilité de le faire ( ATF 118 IV 32 consid. 2a p. 34) ou encore s'il était en droit de compenser ( ATF 105 IV 39 consid. 3 p. 34 ss). Le dessein d'enrichissement peut être réalisé par dol éventuel ( ATF 118 IV 32 consid. 2a p. 34). Déterminer le dessein relève du contenu de la pensée, donc de l'établissement des faits, lesquels lient la cour de céans, à moins que leur arbitraire n'ait été établi ( art. 105 LTF ; ATF 128 IV 53 consid. 3 p. 63; 125 IV 242 consid. 3c p. 252; 119 IV 1 consid. 5a p. 3).</w:t>
      </w:r>
    </w:p>
    <w:p>
      <w:r>
        <w:rPr>
          <w:b/>
        </w:rPr>
        <w:t>E. 2.2.2</w:t>
      </w:r>
    </w:p>
    <w:p>
      <w:r>
        <w:t>Selon la cour cantonale, le recourant n'était pas persuadé d'avoir droit à cette somme, mais ne voulait pas se retrouver sans argent. Elle relève à cet égard que, dans son courrier de septembre 2004 adressé au président de l'association du personnel, le recourant a expliqué que le solde du compte serait réparti entre l'association et lui, sans aucune référence à une éventuelle rétribution pour le travail accompli au sein de la boutique. En outre, elle souligne que, dans le litige qui l'a opposé à son ancien employeur, il n'a déposé aucune conclusion relative à sa prétendue créance, notamment aucune demande de remboursement pour les factures liées à l'achat d'objets estampillés au symbole de l'organisation. Elle conclut qu'il aurait agi davantage en guise de représailles à la suite du non-renouvellement de son contrat de travail. La constatation de fait, selon laquelle le recourant n'a pas agi pour compenser une créance, mais parce qu'il ne voulait pas se retrouver sans argent, lie la cour de céans, dans la mesure où le recourant ne démontre pas - et ne le soutient du reste même pas - que la cour cantonale serait tombée dans l'arbitraire. Or, au vu de cette constatation de fait, le dessein d'enrichissement illégitime est manifeste. Le grief soulevé doit ainsi être rejeté dès lors que l'élément subjectif de l'infraction d'abus de confiance est également réalisé.</w:t>
      </w:r>
    </w:p>
    <w:p>
      <w:r>
        <w:rPr>
          <w:b/>
        </w:rPr>
        <w:t>E. 3</w:t>
      </w:r>
    </w:p>
    <w:p>
      <w:r>
        <w:t>Comme ses conclusions étaient d'emblée vouées à l'échec, le recourant doit être débouté de sa demande d'assistance judiciaire ( art. 64 al. 1 et 2 LTF ) et supporter, vu le rejet de son recours, les frais de justice ( art. 65 et 66 al. 1 LTF ). Ceux-ci seront réduits à 800 fr. compte tenu de sa situation financière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